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6A327" w14:textId="77777777" w:rsidR="00CD1DBD" w:rsidRDefault="00CD1DB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bCs/>
          <w:color w:val="auto"/>
          <w:sz w:val="24"/>
          <w:szCs w:val="24"/>
        </w:rPr>
        <w:t>sowego projektu informatycznego</w:t>
      </w:r>
    </w:p>
    <w:p w14:paraId="13EDD6A7" w14:textId="118AD1E3" w:rsidR="00CD1DBD" w:rsidRPr="002B50C0" w:rsidRDefault="00CD1DBD" w:rsidP="00ED7995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2B50C0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00721977">
        <w:rPr>
          <w:rFonts w:ascii="Arial" w:hAnsi="Arial" w:cs="Arial"/>
          <w:b/>
          <w:bCs/>
          <w:color w:val="auto"/>
          <w:sz w:val="24"/>
          <w:szCs w:val="24"/>
        </w:rPr>
        <w:t>I</w:t>
      </w:r>
      <w:r w:rsidR="00ED7995">
        <w:rPr>
          <w:rFonts w:ascii="Arial" w:hAnsi="Arial" w:cs="Arial"/>
          <w:b/>
          <w:bCs/>
          <w:color w:val="auto"/>
          <w:sz w:val="24"/>
          <w:szCs w:val="24"/>
        </w:rPr>
        <w:t>V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kwartał 20</w:t>
      </w:r>
      <w:r w:rsidR="006764AB">
        <w:rPr>
          <w:rFonts w:ascii="Arial" w:hAnsi="Arial" w:cs="Arial"/>
          <w:b/>
          <w:bCs/>
          <w:color w:val="auto"/>
          <w:sz w:val="24"/>
          <w:szCs w:val="24"/>
        </w:rPr>
        <w:t>20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26508316" w14:textId="77777777" w:rsidR="00CD1DBD" w:rsidRPr="002B50C0" w:rsidRDefault="00CD1DBD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D1DBD" w:rsidRPr="000C4E85" w14:paraId="17A13A01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9C1A23A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47996F7" w14:textId="77777777" w:rsidR="00CD1DBD" w:rsidRPr="000C4E85" w:rsidRDefault="00CD1DBD" w:rsidP="00CB584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SYSTEM WSPARCIA INFORMATYCZNEGO USŁUG TERENOWEJ ADMINISTRACJI MIAR</w:t>
            </w:r>
          </w:p>
        </w:tc>
      </w:tr>
      <w:tr w:rsidR="00CD1DBD" w:rsidRPr="000C4E85" w14:paraId="67A7BA9C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F3AFBA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D4ED7E" w14:textId="5B85F3F3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MINISTER</w:t>
            </w:r>
            <w:r w:rsidR="00BA315A">
              <w:rPr>
                <w:rFonts w:ascii="Arial" w:hAnsi="Arial" w:cs="Arial"/>
                <w:sz w:val="20"/>
                <w:szCs w:val="20"/>
              </w:rPr>
              <w:t>STWO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40E1">
              <w:rPr>
                <w:rFonts w:ascii="Arial" w:hAnsi="Arial" w:cs="Arial"/>
                <w:sz w:val="20"/>
                <w:szCs w:val="20"/>
              </w:rPr>
              <w:t>ROZWOJU</w:t>
            </w:r>
            <w:r w:rsidR="00775514">
              <w:rPr>
                <w:rFonts w:ascii="Arial" w:hAnsi="Arial" w:cs="Arial"/>
                <w:sz w:val="20"/>
                <w:szCs w:val="20"/>
              </w:rPr>
              <w:t>, PRACY I TECHNOLOGII</w:t>
            </w:r>
          </w:p>
        </w:tc>
      </w:tr>
      <w:tr w:rsidR="00CD1DBD" w:rsidRPr="000C4E85" w14:paraId="1B85544F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8AEE996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943DD15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GŁÓWNY URZĄD MIAR</w:t>
            </w:r>
          </w:p>
        </w:tc>
      </w:tr>
      <w:tr w:rsidR="00CD1DBD" w:rsidRPr="000C4E85" w14:paraId="6466E5FB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650020D5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F865D1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CD1DBD" w:rsidRPr="000C4E85" w14:paraId="63DF345E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5A91ACF7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1A57751" w14:textId="3EC8B0F9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 xml:space="preserve">źródło finansowania projektu: budżet państwa – </w:t>
            </w:r>
            <w:r>
              <w:rPr>
                <w:rFonts w:ascii="Arial" w:hAnsi="Arial" w:cs="Arial"/>
                <w:sz w:val="20"/>
                <w:szCs w:val="20"/>
              </w:rPr>
              <w:t>część budżetowa nr 64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>środki UE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85">
              <w:rPr>
                <w:rFonts w:ascii="Arial" w:hAnsi="Arial" w:cs="Arial"/>
                <w:sz w:val="20"/>
                <w:szCs w:val="20"/>
              </w:rPr>
              <w:t>Program Operacyjn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Polska Cyfrowa na lata 2014-2020, </w:t>
            </w:r>
            <w:r>
              <w:rPr>
                <w:rFonts w:ascii="Arial" w:hAnsi="Arial" w:cs="Arial"/>
                <w:sz w:val="20"/>
                <w:szCs w:val="20"/>
              </w:rPr>
              <w:t>II o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ś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riorytetowa </w:t>
            </w:r>
            <w:r>
              <w:rPr>
                <w:rFonts w:ascii="Arial" w:hAnsi="Arial" w:cs="Arial"/>
                <w:sz w:val="20"/>
                <w:szCs w:val="20"/>
              </w:rPr>
              <w:t>POPC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0C4E85">
              <w:rPr>
                <w:rFonts w:ascii="Arial" w:hAnsi="Arial" w:cs="Arial"/>
                <w:sz w:val="20"/>
                <w:szCs w:val="20"/>
              </w:rPr>
              <w:t>E-administracja i otwarty rząd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C4E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C4E85">
              <w:rPr>
                <w:rFonts w:ascii="Arial" w:hAnsi="Arial" w:cs="Arial"/>
                <w:sz w:val="20"/>
                <w:szCs w:val="20"/>
              </w:rPr>
              <w:t>ział</w:t>
            </w:r>
            <w:r w:rsidRPr="000C4E85">
              <w:rPr>
                <w:rFonts w:ascii="Arial" w:hAnsi="Arial" w:cs="Arial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sz w:val="20"/>
                <w:szCs w:val="20"/>
              </w:rPr>
              <w:t>nie 2.1 „Wysoka dostępność i jakość e-usług publicznych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0C4E8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2B08DB07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4E8E11B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75106BF2" w14:textId="77777777" w:rsidR="00CD1DBD" w:rsidRPr="00125882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25882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20A2A63" w14:textId="77777777" w:rsidR="00CD1DBD" w:rsidRPr="002532E0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532E0">
              <w:rPr>
                <w:rFonts w:ascii="Arial" w:hAnsi="Arial" w:cs="Arial"/>
                <w:sz w:val="20"/>
                <w:szCs w:val="20"/>
              </w:rPr>
              <w:t>16 167 150,80 zł (wartość początkowa projektu 14 304 041,85 zł)</w:t>
            </w:r>
          </w:p>
        </w:tc>
      </w:tr>
      <w:tr w:rsidR="00CD1DBD" w:rsidRPr="000C4E85" w14:paraId="6DABD9B3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C764D4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Całkowity koszt </w:t>
            </w:r>
          </w:p>
          <w:p w14:paraId="3573BEDB" w14:textId="77777777" w:rsidR="00CD1DBD" w:rsidRPr="000C4E85" w:rsidRDefault="00CD1DBD" w:rsidP="00DA6A6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46DA6FC" w14:textId="77777777" w:rsidR="00CD1DBD" w:rsidRPr="000C4E85" w:rsidRDefault="00CD1DBD" w:rsidP="00DA6A6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14 304 041,85 zł</w:t>
            </w:r>
          </w:p>
        </w:tc>
      </w:tr>
      <w:tr w:rsidR="00CD1DBD" w:rsidRPr="000C4E85" w14:paraId="7D44F008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4CBA528" w14:textId="77777777" w:rsidR="00CD1DBD" w:rsidRPr="000C4E85" w:rsidRDefault="00CD1DBD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realizacji </w:t>
            </w:r>
          </w:p>
          <w:p w14:paraId="438BD68F" w14:textId="072451AB" w:rsidR="00CD1DBD" w:rsidRPr="000C4E85" w:rsidRDefault="00DB7734" w:rsidP="002F0A74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CD1DBD" w:rsidRPr="000C4E85">
              <w:rPr>
                <w:rFonts w:ascii="Arial" w:hAnsi="Arial" w:cs="Arial"/>
                <w:b/>
                <w:bCs/>
                <w:sz w:val="24"/>
                <w:szCs w:val="24"/>
              </w:rPr>
              <w:t>rojektu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6B2FC7F" w14:textId="77777777" w:rsidR="00CD1DBD" w:rsidRPr="000C4E85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rozpoczęcia realizacji projektu: 01.08.2018 r.</w:t>
            </w:r>
          </w:p>
          <w:p w14:paraId="1C53FAD0" w14:textId="175DC971" w:rsidR="00CD1DBD" w:rsidRDefault="00CD1DBD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 data zakończenia realizacji projektu</w:t>
            </w:r>
            <w:r w:rsidR="00B37E08" w:rsidRPr="00B37E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B37E08">
              <w:rPr>
                <w:rFonts w:ascii="Arial" w:hAnsi="Arial" w:cs="Arial"/>
                <w:sz w:val="20"/>
                <w:szCs w:val="20"/>
              </w:rPr>
              <w:t>:</w:t>
            </w:r>
            <w:r w:rsidRPr="00FD44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29</w:t>
            </w:r>
            <w:r w:rsidRPr="00FD4466">
              <w:rPr>
                <w:rFonts w:ascii="Arial" w:hAnsi="Arial" w:cs="Arial"/>
                <w:sz w:val="20"/>
                <w:szCs w:val="20"/>
              </w:rPr>
              <w:t>.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1</w:t>
            </w:r>
            <w:r w:rsidRPr="00FD4466">
              <w:rPr>
                <w:rFonts w:ascii="Arial" w:hAnsi="Arial" w:cs="Arial"/>
                <w:sz w:val="20"/>
                <w:szCs w:val="20"/>
              </w:rPr>
              <w:t>0.2021 r.</w:t>
            </w:r>
          </w:p>
          <w:p w14:paraId="7B8D7816" w14:textId="2B5E6F9E" w:rsidR="00DB7734" w:rsidRPr="000C4E85" w:rsidRDefault="00AB5FE5" w:rsidP="002F0A74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t>–</w:t>
            </w:r>
            <w:r w:rsidR="00DB7734">
              <w:rPr>
                <w:rFonts w:ascii="Arial" w:hAnsi="Arial" w:cs="Arial"/>
                <w:sz w:val="20"/>
                <w:szCs w:val="20"/>
              </w:rPr>
              <w:t xml:space="preserve"> pierwotna data zakończenia (sprzed zmiany): 31.07.2021 r.</w:t>
            </w:r>
          </w:p>
        </w:tc>
      </w:tr>
    </w:tbl>
    <w:p w14:paraId="58B94F7A" w14:textId="77777777" w:rsidR="00CD1DBD" w:rsidRPr="00141A92" w:rsidRDefault="00CD1DBD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Otoczenie prawne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14:paraId="582ADCCD" w14:textId="77777777" w:rsidR="00CD1DBD" w:rsidRPr="002F0A74" w:rsidRDefault="00CD1DBD" w:rsidP="0062054D">
      <w:pPr>
        <w:pStyle w:val="Nagwek3"/>
        <w:spacing w:after="360"/>
        <w:ind w:left="284" w:hanging="284"/>
        <w:rPr>
          <w:rFonts w:ascii="Arial" w:hAnsi="Arial" w:cs="Arial"/>
          <w:color w:val="767171"/>
          <w:sz w:val="22"/>
          <w:szCs w:val="22"/>
        </w:rPr>
      </w:pPr>
      <w:r w:rsidRPr="002F0A74">
        <w:rPr>
          <w:rFonts w:ascii="Arial" w:hAnsi="Arial" w:cs="Arial"/>
          <w:color w:val="auto"/>
          <w:sz w:val="22"/>
          <w:szCs w:val="22"/>
        </w:rPr>
        <w:t xml:space="preserve"> </w:t>
      </w:r>
      <w:r w:rsidRPr="002F0A74">
        <w:rPr>
          <w:rFonts w:ascii="Arial" w:hAnsi="Arial" w:cs="Arial"/>
          <w:color w:val="auto"/>
          <w:sz w:val="22"/>
          <w:szCs w:val="22"/>
        </w:rPr>
        <w:tab/>
        <w:t>Realizacja projektu nie pociąga za sobą skutków w postaci zmian przepisów prawa.</w:t>
      </w:r>
    </w:p>
    <w:p w14:paraId="7F658A5F" w14:textId="77777777" w:rsidR="00CD1DBD" w:rsidRPr="00141A92" w:rsidRDefault="00CD1DBD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  <w:r w:rsidRPr="00141A92">
        <w:rPr>
          <w:rFonts w:ascii="Arial" w:hAnsi="Arial" w:cs="Arial"/>
          <w:b/>
          <w:bCs/>
          <w:color w:val="auto"/>
          <w:sz w:val="24"/>
          <w:szCs w:val="24"/>
        </w:rPr>
        <w:t>Postęp finansowy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CD1DBD" w:rsidRPr="000C4E85" w14:paraId="03735A42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57A5FE9" w14:textId="77777777" w:rsidR="00CD1DBD" w:rsidRPr="000C4E85" w:rsidRDefault="00CD1DBD" w:rsidP="000C4E8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72BE622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CC883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środków zaangażow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nych</w:t>
            </w:r>
          </w:p>
        </w:tc>
      </w:tr>
      <w:tr w:rsidR="00CD1DBD" w:rsidRPr="000C4E85" w14:paraId="2CC2A6B8" w14:textId="77777777">
        <w:tc>
          <w:tcPr>
            <w:tcW w:w="2972" w:type="dxa"/>
            <w:vAlign w:val="center"/>
          </w:tcPr>
          <w:p w14:paraId="7B5A52F7" w14:textId="1C8758C0" w:rsidR="00CD1DBD" w:rsidRPr="00FF47CC" w:rsidRDefault="00CC577D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D7995">
              <w:rPr>
                <w:rFonts w:ascii="Arial" w:hAnsi="Arial" w:cs="Arial"/>
                <w:sz w:val="20"/>
                <w:szCs w:val="20"/>
              </w:rPr>
              <w:t>4</w:t>
            </w:r>
            <w:r w:rsidR="00CD1DBD" w:rsidRPr="00FF47CC">
              <w:rPr>
                <w:rFonts w:ascii="Arial" w:hAnsi="Arial" w:cs="Arial"/>
                <w:sz w:val="20"/>
                <w:szCs w:val="20"/>
              </w:rPr>
              <w:t xml:space="preserve"> % czasu realizacji projektu</w:t>
            </w:r>
          </w:p>
        </w:tc>
        <w:tc>
          <w:tcPr>
            <w:tcW w:w="3260" w:type="dxa"/>
            <w:vAlign w:val="center"/>
          </w:tcPr>
          <w:p w14:paraId="532DC863" w14:textId="5089CB58" w:rsidR="00CD1DBD" w:rsidRPr="00FD4466" w:rsidRDefault="00D51F43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5,0</w:t>
            </w:r>
            <w:r w:rsidR="00CD1DBD" w:rsidRPr="00FD4466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1E6D6525" w14:textId="34F47889" w:rsidR="00CD1DBD" w:rsidRPr="00FD4466" w:rsidRDefault="00CC577D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2,7</w:t>
            </w:r>
            <w:r w:rsidR="00CD1DBD" w:rsidRPr="00FD4466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  <w:p w14:paraId="65CDF47C" w14:textId="3A898B01" w:rsidR="00CD1DBD" w:rsidRPr="00FD4466" w:rsidRDefault="00CC577D" w:rsidP="00FA698A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2</w:t>
            </w:r>
            <w:r w:rsidR="00E577E3" w:rsidRPr="00FD4466">
              <w:rPr>
                <w:rFonts w:ascii="Arial" w:hAnsi="Arial" w:cs="Arial"/>
                <w:sz w:val="20"/>
                <w:szCs w:val="20"/>
              </w:rPr>
              <w:t>,</w:t>
            </w:r>
            <w:r w:rsidR="00FD4466" w:rsidRPr="00FD4466">
              <w:rPr>
                <w:rFonts w:ascii="Arial" w:hAnsi="Arial" w:cs="Arial"/>
                <w:sz w:val="20"/>
                <w:szCs w:val="20"/>
              </w:rPr>
              <w:t>7</w:t>
            </w:r>
            <w:r w:rsidR="00E577E3" w:rsidRPr="00FD44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DBD" w:rsidRPr="00FD446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9293428" w14:textId="77777777" w:rsidR="00CD1DBD" w:rsidRPr="00FD4466" w:rsidRDefault="00CD1DBD" w:rsidP="00FA698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466">
              <w:rPr>
                <w:rFonts w:ascii="Arial" w:hAnsi="Arial" w:cs="Arial"/>
                <w:sz w:val="20"/>
                <w:szCs w:val="20"/>
              </w:rPr>
              <w:t>90,8 %</w:t>
            </w:r>
          </w:p>
        </w:tc>
      </w:tr>
    </w:tbl>
    <w:p w14:paraId="42829F8F" w14:textId="77777777" w:rsidR="00CD1DBD" w:rsidRPr="002B50C0" w:rsidRDefault="00CD1DBD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28300C10" w14:textId="77777777" w:rsidR="00CD1DBD" w:rsidRDefault="00CD1DBD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 w:rsidRPr="00DC39A9">
        <w:rPr>
          <w:rFonts w:ascii="Arial" w:hAnsi="Arial" w:cs="Arial"/>
          <w:color w:val="767171"/>
          <w:sz w:val="20"/>
          <w:szCs w:val="20"/>
        </w:rPr>
        <w:t xml:space="preserve">&lt;maksymalnie </w:t>
      </w:r>
      <w:r>
        <w:rPr>
          <w:rFonts w:ascii="Arial" w:hAnsi="Arial" w:cs="Arial"/>
          <w:color w:val="767171"/>
          <w:sz w:val="20"/>
          <w:szCs w:val="20"/>
        </w:rPr>
        <w:t>5</w:t>
      </w:r>
      <w:r w:rsidRPr="00DC39A9">
        <w:rPr>
          <w:rFonts w:ascii="Arial" w:hAnsi="Arial" w:cs="Arial"/>
          <w:color w:val="767171"/>
          <w:sz w:val="20"/>
          <w:szCs w:val="20"/>
        </w:rPr>
        <w:t>000 znaków&gt;</w:t>
      </w:r>
    </w:p>
    <w:p w14:paraId="564B96DB" w14:textId="77777777" w:rsidR="00CD1DBD" w:rsidRPr="00141A92" w:rsidRDefault="00CD1DBD" w:rsidP="00141A92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1505"/>
        <w:gridCol w:w="1306"/>
        <w:gridCol w:w="1911"/>
        <w:gridCol w:w="2792"/>
      </w:tblGrid>
      <w:tr w:rsidR="00CD1DBD" w:rsidRPr="000C4E85" w14:paraId="343FE1AC" w14:textId="77777777" w:rsidTr="00792895">
        <w:trPr>
          <w:tblHeader/>
        </w:trPr>
        <w:tc>
          <w:tcPr>
            <w:tcW w:w="2125" w:type="dxa"/>
            <w:shd w:val="clear" w:color="auto" w:fill="D0CECE"/>
            <w:vAlign w:val="center"/>
          </w:tcPr>
          <w:p w14:paraId="2CE72F9E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5" w:type="dxa"/>
            <w:shd w:val="clear" w:color="auto" w:fill="D0CECE"/>
            <w:vAlign w:val="center"/>
          </w:tcPr>
          <w:p w14:paraId="3C1A94F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Powiązane wskaźniki projektu </w:t>
            </w:r>
            <w:r w:rsidRPr="000C4E85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/>
            <w:vAlign w:val="center"/>
          </w:tcPr>
          <w:p w14:paraId="62D2B0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/>
            <w:vAlign w:val="center"/>
          </w:tcPr>
          <w:p w14:paraId="47D8BB6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Rzeczywisty te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min osiągnięcia</w:t>
            </w:r>
          </w:p>
        </w:tc>
        <w:tc>
          <w:tcPr>
            <w:tcW w:w="2792" w:type="dxa"/>
            <w:shd w:val="clear" w:color="auto" w:fill="D0CECE"/>
            <w:vAlign w:val="center"/>
          </w:tcPr>
          <w:p w14:paraId="609AF89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CD1DBD" w:rsidRPr="000C4E85" w14:paraId="3B221E6D" w14:textId="77777777" w:rsidTr="00792895">
        <w:tc>
          <w:tcPr>
            <w:tcW w:w="2125" w:type="dxa"/>
            <w:vAlign w:val="center"/>
          </w:tcPr>
          <w:p w14:paraId="11C14008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koncepcji i SIWZ systemu „ŚWITEŹ”</w:t>
            </w:r>
          </w:p>
        </w:tc>
        <w:tc>
          <w:tcPr>
            <w:tcW w:w="1505" w:type="dxa"/>
            <w:vAlign w:val="center"/>
          </w:tcPr>
          <w:p w14:paraId="3DC21D6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5AEE5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911" w:type="dxa"/>
            <w:vAlign w:val="center"/>
          </w:tcPr>
          <w:p w14:paraId="05B766F2" w14:textId="77777777" w:rsidR="00CD1DBD" w:rsidRPr="006F0066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</w:t>
            </w:r>
            <w:r w:rsidRPr="006F006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792" w:type="dxa"/>
            <w:vAlign w:val="center"/>
          </w:tcPr>
          <w:p w14:paraId="67F4F32E" w14:textId="77777777" w:rsidR="00CD1DBD" w:rsidRPr="006F0066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</w:tc>
      </w:tr>
      <w:tr w:rsidR="00CD1DBD" w:rsidRPr="000C4E85" w14:paraId="6C9E3EFA" w14:textId="77777777" w:rsidTr="00792895">
        <w:tc>
          <w:tcPr>
            <w:tcW w:w="2125" w:type="dxa"/>
            <w:vAlign w:val="center"/>
          </w:tcPr>
          <w:p w14:paraId="26F618F6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Podpisanie umowy z 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Wykonawcą systemu "ŚWITEŹ"</w:t>
            </w:r>
          </w:p>
        </w:tc>
        <w:tc>
          <w:tcPr>
            <w:tcW w:w="1505" w:type="dxa"/>
            <w:vAlign w:val="center"/>
          </w:tcPr>
          <w:p w14:paraId="4A28554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306" w:type="dxa"/>
            <w:vAlign w:val="center"/>
          </w:tcPr>
          <w:p w14:paraId="085C82AD" w14:textId="77777777" w:rsidR="00CD1DBD" w:rsidRPr="00F00E4A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04-2019</w:t>
            </w:r>
          </w:p>
        </w:tc>
        <w:tc>
          <w:tcPr>
            <w:tcW w:w="1911" w:type="dxa"/>
            <w:vAlign w:val="center"/>
          </w:tcPr>
          <w:p w14:paraId="600DE051" w14:textId="77777777" w:rsidR="00CD1DBD" w:rsidRPr="00F00E4A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10-2019</w:t>
            </w:r>
          </w:p>
        </w:tc>
        <w:tc>
          <w:tcPr>
            <w:tcW w:w="2792" w:type="dxa"/>
            <w:vAlign w:val="center"/>
          </w:tcPr>
          <w:p w14:paraId="0F63697B" w14:textId="77777777" w:rsidR="00CD1DBD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  <w:p w14:paraId="73D2564B" w14:textId="77777777" w:rsidR="00CD1DB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Przedmiotowa umowa zost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ła podpisana w dniu 04.10.2019 r.</w:t>
            </w:r>
          </w:p>
          <w:p w14:paraId="67456771" w14:textId="77777777" w:rsidR="00CD1DBD" w:rsidRPr="00F00E4A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Planowany -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Termin zako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czenia zadania uległ prz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sunięciu ze względu na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istniałą sytuację formalno-prawną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zakończonym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postępowaniu przetarg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wym. 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toku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postępowani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wpłynęło 5 ofert.</w:t>
            </w:r>
            <w:r w:rsidRPr="00F00E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W stosunku do jednej Zamawiający p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wziął podejrzenie rażąco niskiej ceny. W tym celu zostało przeprowadzone postępowanie wyjaśniające. W trakcie trwania </w:t>
            </w:r>
            <w:r w:rsidRPr="00F00E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tego 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dania wpłynęło odwołanie do Krajowej Izby Odwoławczej od jednego z uczestników postępowania dotyczące braku ujawnienia przez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mawiającego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zastrzeżonej przez Wykonawcę jako t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jemnica przedsiębiorstwa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części oferty. Pomimo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stosowania przez Benef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cjenta wszelkich możliwych działań zapobiegawczych (tj. planowania harmonogramu postępowania z zachow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niem bezpieczeństwa dla terminu jego realizacji), te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miny jakie wiążą się z real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zacją procedur związanych z odwołanymi do KIO czy d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terminowane ustawą o z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mówieniach publicznych,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spowodowały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materializacj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ryzyka nieosiągnięcia tego kamienia milowego w zapl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8074F">
              <w:rPr>
                <w:rFonts w:ascii="Arial" w:hAnsi="Arial" w:cs="Arial"/>
                <w:sz w:val="20"/>
                <w:szCs w:val="20"/>
                <w:lang w:eastAsia="pl-PL"/>
              </w:rPr>
              <w:t>nowanym terminie.</w:t>
            </w:r>
          </w:p>
        </w:tc>
      </w:tr>
      <w:tr w:rsidR="00CD1DBD" w:rsidRPr="000C4E85" w14:paraId="5D06DB4B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F05D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Odbiór dokumentacji projektowej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D6DB" w14:textId="77777777" w:rsidR="00CD1DBD" w:rsidRPr="000C4E85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CCD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00E4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BE3A" w14:textId="77777777" w:rsidR="00CD1DBD" w:rsidRPr="00F00E4A" w:rsidRDefault="00CD1DBD" w:rsidP="00F00E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BDB8" w14:textId="77777777" w:rsidR="00CD1DBD" w:rsidRPr="00B033F7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Osiągnięty</w:t>
            </w:r>
          </w:p>
          <w:p w14:paraId="2C26FF0E" w14:textId="77777777" w:rsidR="00CD1DBD" w:rsidRPr="00B033F7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Przedmiotowa dokumentacja została odebrana w dniu 30.12.2019 r.</w:t>
            </w:r>
          </w:p>
          <w:p w14:paraId="6F13934D" w14:textId="77777777" w:rsidR="00CD1DBD" w:rsidRPr="00B033F7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Termin zakończenia zadania uległ przesunięciu ze wzgl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 na uzależnienie jego realizacji od terminu zako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ń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czenia procedur przetarg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wych, o których mowa p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B033F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wyżej.</w:t>
            </w:r>
          </w:p>
        </w:tc>
      </w:tr>
      <w:tr w:rsidR="00CD1DBD" w:rsidRPr="000C4E85" w14:paraId="28717F92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C2DB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planu wdr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żenia i testów syst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mu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3A02" w14:textId="77777777" w:rsidR="00CD1DBD" w:rsidRPr="000C4E85" w:rsidRDefault="00CD1DBD" w:rsidP="008D70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0850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09-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7A2" w14:textId="77777777" w:rsidR="00CD1DBD" w:rsidRPr="000C4E85" w:rsidRDefault="00CD1DBD" w:rsidP="0085679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A223" w14:textId="77777777" w:rsidR="00CD1DBD" w:rsidRPr="0061724A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7929DBD9" w14:textId="77777777" w:rsidR="00CD1DBD" w:rsidRPr="0061724A" w:rsidRDefault="00CD1DBD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Przedmiotowe plany zostały odebrane w dniu 30.12.2019 r.</w:t>
            </w:r>
          </w:p>
          <w:p w14:paraId="55E40A71" w14:textId="77777777" w:rsidR="00CD1DBD" w:rsidRPr="0061724A" w:rsidRDefault="00CD1DBD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 zakończenia zadania 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uległ przesunięciu ze wzgl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ę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du na uzależnienie jego realizacji od terminu zako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czenia procedur przetarg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wych, o których mowa p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wyżej.</w:t>
            </w:r>
          </w:p>
        </w:tc>
      </w:tr>
      <w:tr w:rsidR="00CD1DBD" w:rsidRPr="000C4E85" w14:paraId="3092E325" w14:textId="77777777" w:rsidTr="007928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DACF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Odbiór prototypu systemu "ŚWITEŹ"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F7B6" w14:textId="77777777" w:rsidR="00CD1DBD" w:rsidRPr="000C4E85" w:rsidRDefault="00CD1DBD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EA05" w14:textId="77777777" w:rsidR="00CD1DBD" w:rsidRPr="000C4E85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80AF" w14:textId="55145765" w:rsidR="00CD1DBD" w:rsidRPr="000C4E85" w:rsidRDefault="003A2CFE" w:rsidP="003A2CF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CFED" w14:textId="77777777" w:rsidR="003A2CFE" w:rsidRPr="0061724A" w:rsidRDefault="003A2CFE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Osiągnięty</w:t>
            </w:r>
          </w:p>
          <w:p w14:paraId="2AA67836" w14:textId="2F808C2C" w:rsidR="003A2CFE" w:rsidRPr="0061724A" w:rsidRDefault="003A2CFE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Przedmiotow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rototyp 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stał odebran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dniu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05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.20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14:paraId="32137C43" w14:textId="7590AC5B" w:rsidR="00B25211" w:rsidRPr="0061724A" w:rsidRDefault="00B25211" w:rsidP="007928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Termin zakończenia zadania uległ przesunięciu (zgodnie z aneksem do umowy z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wartej z wykonawcą opr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gramowania)</w:t>
            </w:r>
            <w:r w:rsidR="003A2CFE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ze względu na 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opóźnie</w:t>
            </w:r>
            <w:r w:rsidR="003A2CFE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realizacji p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61724A">
              <w:rPr>
                <w:rFonts w:ascii="Arial" w:hAnsi="Arial" w:cs="Arial"/>
                <w:sz w:val="20"/>
                <w:szCs w:val="20"/>
                <w:lang w:eastAsia="pl-PL"/>
              </w:rPr>
              <w:t>przednich etapów projektu.</w:t>
            </w:r>
          </w:p>
        </w:tc>
      </w:tr>
      <w:tr w:rsidR="00CD1DBD" w:rsidRPr="000C4E85" w14:paraId="152021BC" w14:textId="77777777" w:rsidTr="00792895">
        <w:tc>
          <w:tcPr>
            <w:tcW w:w="2125" w:type="dxa"/>
            <w:vAlign w:val="center"/>
          </w:tcPr>
          <w:p w14:paraId="0E20BCE4" w14:textId="77777777" w:rsidR="00CD1DBD" w:rsidRPr="00C1079D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Przeprowadzenie testów akceptacy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nych oprogramow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nia systemu "ŚWITEŹ"</w:t>
            </w:r>
          </w:p>
        </w:tc>
        <w:tc>
          <w:tcPr>
            <w:tcW w:w="1505" w:type="dxa"/>
            <w:vAlign w:val="center"/>
          </w:tcPr>
          <w:p w14:paraId="18FB1E05" w14:textId="77777777" w:rsidR="00CD1DBD" w:rsidRPr="00C1079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079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4BB5937" w14:textId="68A5A340" w:rsidR="00CD1DBD" w:rsidRPr="009C6C88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911" w:type="dxa"/>
            <w:vAlign w:val="center"/>
          </w:tcPr>
          <w:p w14:paraId="525A840C" w14:textId="77777777" w:rsidR="00CD1DBD" w:rsidRPr="003A2CFE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2A147AFA" w14:textId="77777777" w:rsidR="00792895" w:rsidRPr="00F10351" w:rsidRDefault="00792895" w:rsidP="0079289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Planowany</w:t>
            </w:r>
          </w:p>
          <w:p w14:paraId="75889DF1" w14:textId="34E683F1" w:rsidR="00CD1DBD" w:rsidRPr="00F10351" w:rsidRDefault="00792895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 zakończenia zadania uległ przesunięciu na dzień </w:t>
            </w:r>
            <w:r w:rsidR="00C1079D" w:rsidRPr="00F10351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.0</w:t>
            </w:r>
            <w:r w:rsidR="00F10351" w:rsidRPr="00F10351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.202</w:t>
            </w:r>
            <w:r w:rsidR="00C1079D" w:rsidRPr="00F1035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 (zgodnie z aneksem do umowy zawa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tej z wykonawcą oprogr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mowania). Przesunięcie to wynika z opóźnień w real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zacji poprzednich etapów projektu.</w:t>
            </w:r>
          </w:p>
        </w:tc>
      </w:tr>
      <w:tr w:rsidR="00CD1DBD" w:rsidRPr="000C4E85" w14:paraId="0193A083" w14:textId="77777777" w:rsidTr="00792895">
        <w:tc>
          <w:tcPr>
            <w:tcW w:w="2125" w:type="dxa"/>
            <w:vAlign w:val="center"/>
          </w:tcPr>
          <w:p w14:paraId="0CBAF474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Raport z testów be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pieczeństwa systemu "ŚWITEŹ"</w:t>
            </w:r>
          </w:p>
        </w:tc>
        <w:tc>
          <w:tcPr>
            <w:tcW w:w="1505" w:type="dxa"/>
            <w:vAlign w:val="center"/>
          </w:tcPr>
          <w:p w14:paraId="7B40C0B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7E2EC7C8" w14:textId="2D437B38" w:rsidR="00CD1DBD" w:rsidRPr="009C6C88" w:rsidRDefault="009C6C88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03</w:t>
            </w:r>
            <w:r w:rsidR="00CD1DBD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31359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1" w:type="dxa"/>
            <w:vAlign w:val="center"/>
          </w:tcPr>
          <w:p w14:paraId="63B33B9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6E02EEE4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  <w:tr w:rsidR="00CD1DBD" w:rsidRPr="000C4E85" w14:paraId="63104D04" w14:textId="77777777" w:rsidTr="00792895">
        <w:tc>
          <w:tcPr>
            <w:tcW w:w="2125" w:type="dxa"/>
            <w:vAlign w:val="center"/>
          </w:tcPr>
          <w:p w14:paraId="1781627C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oprogram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wania systemu "ŚWITEŹ"</w:t>
            </w:r>
          </w:p>
        </w:tc>
        <w:tc>
          <w:tcPr>
            <w:tcW w:w="1505" w:type="dxa"/>
            <w:vAlign w:val="center"/>
          </w:tcPr>
          <w:p w14:paraId="59ABF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06" w:type="dxa"/>
            <w:vAlign w:val="center"/>
          </w:tcPr>
          <w:p w14:paraId="365F7AD7" w14:textId="5AB42437" w:rsidR="00CD1DBD" w:rsidRPr="009C6C88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07F856D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5D280337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  <w:tr w:rsidR="00CD1DBD" w:rsidRPr="000C4E85" w14:paraId="18222C74" w14:textId="77777777" w:rsidTr="00792895">
        <w:tc>
          <w:tcPr>
            <w:tcW w:w="2125" w:type="dxa"/>
            <w:vAlign w:val="center"/>
          </w:tcPr>
          <w:p w14:paraId="03676BD9" w14:textId="77777777" w:rsidR="00CD1DBD" w:rsidRPr="000C4E85" w:rsidRDefault="00CD1DBD" w:rsidP="0079289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Odbiór końcowy wdrożenia systemu "ŚWITEŹ"</w:t>
            </w:r>
          </w:p>
        </w:tc>
        <w:tc>
          <w:tcPr>
            <w:tcW w:w="1505" w:type="dxa"/>
            <w:vAlign w:val="center"/>
          </w:tcPr>
          <w:p w14:paraId="31A10BB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1 </w:t>
            </w:r>
          </w:p>
          <w:p w14:paraId="0A4A776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5 szt.;</w:t>
            </w:r>
          </w:p>
          <w:p w14:paraId="65D40FD9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370D8B8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2 </w:t>
            </w:r>
          </w:p>
          <w:p w14:paraId="6B36B8F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 szt.;</w:t>
            </w:r>
          </w:p>
          <w:p w14:paraId="2D640AA5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F92717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3 </w:t>
            </w:r>
          </w:p>
          <w:p w14:paraId="7E5DA4A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 szt.;</w:t>
            </w:r>
          </w:p>
          <w:p w14:paraId="69835C7C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7FE09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4 </w:t>
            </w:r>
          </w:p>
          <w:p w14:paraId="17D77E50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425 osób;</w:t>
            </w:r>
          </w:p>
          <w:p w14:paraId="41156FF2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74692F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wy 5 </w:t>
            </w:r>
          </w:p>
          <w:p w14:paraId="02F41AD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180 osób;</w:t>
            </w:r>
          </w:p>
          <w:p w14:paraId="69B6CA86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48472C4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6 </w:t>
            </w:r>
          </w:p>
          <w:p w14:paraId="08338BE5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245 osób;</w:t>
            </w:r>
          </w:p>
          <w:p w14:paraId="3C8A76A1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6F5DF4C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7 </w:t>
            </w:r>
          </w:p>
          <w:p w14:paraId="41843429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81108 szt./rok;</w:t>
            </w:r>
          </w:p>
          <w:p w14:paraId="07D1E2AA" w14:textId="77777777" w:rsidR="00CD1DBD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9F1381A" w14:textId="77777777" w:rsidR="00CD1DBD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porządk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 8 </w:t>
            </w:r>
          </w:p>
          <w:p w14:paraId="5601F497" w14:textId="77777777" w:rsidR="00CD1DBD" w:rsidRPr="000C4E85" w:rsidRDefault="00CD1DBD" w:rsidP="000221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– wartość docelowa 4 szt.</w:t>
            </w:r>
          </w:p>
        </w:tc>
        <w:tc>
          <w:tcPr>
            <w:tcW w:w="1306" w:type="dxa"/>
            <w:vAlign w:val="center"/>
          </w:tcPr>
          <w:p w14:paraId="24113912" w14:textId="29547A26" w:rsidR="00CD1DBD" w:rsidRPr="009C6C88" w:rsidRDefault="00CD1DBD" w:rsidP="00CE3E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1" w:type="dxa"/>
            <w:vAlign w:val="center"/>
          </w:tcPr>
          <w:p w14:paraId="43C736D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92" w:type="dxa"/>
            <w:vAlign w:val="center"/>
          </w:tcPr>
          <w:p w14:paraId="4C8EAA25" w14:textId="77777777" w:rsidR="00CD1DBD" w:rsidRPr="000C4E85" w:rsidRDefault="00CD1DBD" w:rsidP="007928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6649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Planowan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</w:tbl>
    <w:p w14:paraId="6F5816DC" w14:textId="77777777" w:rsidR="00CD1DBD" w:rsidRPr="00141A92" w:rsidRDefault="00CD1DBD" w:rsidP="00141A92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00141A92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CD1DBD" w:rsidRPr="000C4E85" w14:paraId="550422DA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171DE2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86424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Jedn. mi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4E2EE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30F2333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6A438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2985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Wartość osiągnięta od początku realiz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cji projektu (narast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jąco)</w:t>
            </w:r>
          </w:p>
        </w:tc>
      </w:tr>
      <w:tr w:rsidR="00CD1DBD" w:rsidRPr="000C4E85" w14:paraId="7133D283" w14:textId="77777777">
        <w:tc>
          <w:tcPr>
            <w:tcW w:w="2545" w:type="dxa"/>
            <w:vAlign w:val="center"/>
          </w:tcPr>
          <w:p w14:paraId="1AB9D6F2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1.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z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nych udostępnionych on-line o stopniu dojrzałości 3 - dwustronna interakcja</w:t>
            </w:r>
          </w:p>
        </w:tc>
        <w:tc>
          <w:tcPr>
            <w:tcW w:w="1278" w:type="dxa"/>
            <w:vAlign w:val="center"/>
          </w:tcPr>
          <w:p w14:paraId="6677BB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A70A3C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1701" w:type="dxa"/>
            <w:vAlign w:val="center"/>
          </w:tcPr>
          <w:p w14:paraId="6E46C8E0" w14:textId="03BF901B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C95283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2665B3A" w14:textId="77777777">
        <w:tc>
          <w:tcPr>
            <w:tcW w:w="2545" w:type="dxa"/>
            <w:vAlign w:val="center"/>
          </w:tcPr>
          <w:p w14:paraId="6C1FEF5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2.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usług public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z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nych udostępnionych on-line o stopniu dojrzałości co najmniej 4 - transakcja</w:t>
            </w:r>
          </w:p>
        </w:tc>
        <w:tc>
          <w:tcPr>
            <w:tcW w:w="1278" w:type="dxa"/>
            <w:vAlign w:val="center"/>
          </w:tcPr>
          <w:p w14:paraId="202CB67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E61BEE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701" w:type="dxa"/>
            <w:vAlign w:val="center"/>
          </w:tcPr>
          <w:p w14:paraId="36E6DBBF" w14:textId="3D8F5A8D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5189113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6A10E5F0" w14:textId="77777777">
        <w:tc>
          <w:tcPr>
            <w:tcW w:w="2545" w:type="dxa"/>
            <w:vAlign w:val="center"/>
          </w:tcPr>
          <w:p w14:paraId="7BC6774A" w14:textId="77777777" w:rsidR="00CD1DBD" w:rsidRPr="000C4E85" w:rsidRDefault="00CD1DBD" w:rsidP="000221B9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3.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uruchomionych systemów teleinform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a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tycznych w podmiotach wykonujących zadania publiczne</w:t>
            </w:r>
          </w:p>
        </w:tc>
        <w:tc>
          <w:tcPr>
            <w:tcW w:w="1278" w:type="dxa"/>
            <w:vAlign w:val="center"/>
          </w:tcPr>
          <w:p w14:paraId="07DB4D1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0328505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01" w:type="dxa"/>
            <w:vAlign w:val="center"/>
          </w:tcPr>
          <w:p w14:paraId="3C9E8779" w14:textId="51DA19CC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8C00873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1304FBDF" w14:textId="77777777">
        <w:tc>
          <w:tcPr>
            <w:tcW w:w="2545" w:type="dxa"/>
            <w:vAlign w:val="center"/>
          </w:tcPr>
          <w:p w14:paraId="255210F0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4.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58609E7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0DAC9F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701" w:type="dxa"/>
            <w:vAlign w:val="center"/>
          </w:tcPr>
          <w:p w14:paraId="32741617" w14:textId="59F38E50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2A8031D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D752980" w14:textId="77777777">
        <w:tc>
          <w:tcPr>
            <w:tcW w:w="2545" w:type="dxa"/>
            <w:vAlign w:val="center"/>
          </w:tcPr>
          <w:p w14:paraId="413F49AB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5.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dących pracownikami IT, objętych wsparciem szk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o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leniowym – kobiety</w:t>
            </w:r>
          </w:p>
        </w:tc>
        <w:tc>
          <w:tcPr>
            <w:tcW w:w="1278" w:type="dxa"/>
            <w:vAlign w:val="center"/>
          </w:tcPr>
          <w:p w14:paraId="33F9ECA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5F994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701" w:type="dxa"/>
            <w:vAlign w:val="center"/>
          </w:tcPr>
          <w:p w14:paraId="22C66CB4" w14:textId="066E1B8F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3144F4E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5A4F8A3C" w14:textId="77777777">
        <w:trPr>
          <w:cantSplit/>
        </w:trPr>
        <w:tc>
          <w:tcPr>
            <w:tcW w:w="2545" w:type="dxa"/>
            <w:vAlign w:val="center"/>
          </w:tcPr>
          <w:p w14:paraId="52C5E193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lastRenderedPageBreak/>
              <w:t xml:space="preserve">6.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pracowników podmiotów wykonujących zadania publiczne nieb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dących pracownikami IT, objętych wsparciem szk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o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leniowym - mężczyźni</w:t>
            </w:r>
          </w:p>
        </w:tc>
        <w:tc>
          <w:tcPr>
            <w:tcW w:w="1278" w:type="dxa"/>
            <w:vAlign w:val="center"/>
          </w:tcPr>
          <w:p w14:paraId="0C6BA89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192F305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245,00</w:t>
            </w:r>
          </w:p>
        </w:tc>
        <w:tc>
          <w:tcPr>
            <w:tcW w:w="1701" w:type="dxa"/>
            <w:vAlign w:val="center"/>
          </w:tcPr>
          <w:p w14:paraId="425EA677" w14:textId="00E86D00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4424FEC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047A071E" w14:textId="77777777">
        <w:tc>
          <w:tcPr>
            <w:tcW w:w="2545" w:type="dxa"/>
            <w:vAlign w:val="center"/>
          </w:tcPr>
          <w:p w14:paraId="38770D7E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7.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załatwionych spraw poprzez udostę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nioną on-line usługę 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u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bliczną</w:t>
            </w:r>
          </w:p>
        </w:tc>
        <w:tc>
          <w:tcPr>
            <w:tcW w:w="1278" w:type="dxa"/>
            <w:vAlign w:val="center"/>
          </w:tcPr>
          <w:p w14:paraId="4A4D719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szt./rok</w:t>
            </w:r>
          </w:p>
        </w:tc>
        <w:tc>
          <w:tcPr>
            <w:tcW w:w="1842" w:type="dxa"/>
            <w:vAlign w:val="center"/>
          </w:tcPr>
          <w:p w14:paraId="180C81E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81 108,00</w:t>
            </w:r>
          </w:p>
        </w:tc>
        <w:tc>
          <w:tcPr>
            <w:tcW w:w="1701" w:type="dxa"/>
            <w:vAlign w:val="center"/>
          </w:tcPr>
          <w:p w14:paraId="32DF7985" w14:textId="2A2B4883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6052D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2*</w:t>
            </w:r>
          </w:p>
        </w:tc>
        <w:tc>
          <w:tcPr>
            <w:tcW w:w="2268" w:type="dxa"/>
            <w:vAlign w:val="center"/>
          </w:tcPr>
          <w:p w14:paraId="4245A28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CD1DBD" w:rsidRPr="000C4E85" w14:paraId="344B3DFD" w14:textId="77777777">
        <w:tc>
          <w:tcPr>
            <w:tcW w:w="2545" w:type="dxa"/>
            <w:vAlign w:val="center"/>
          </w:tcPr>
          <w:p w14:paraId="586FC218" w14:textId="77777777" w:rsidR="00CD1DBD" w:rsidRPr="000C4E85" w:rsidRDefault="00CD1DBD" w:rsidP="000C4E85">
            <w:pPr>
              <w:pStyle w:val="Tekstpodstawowy2"/>
              <w:spacing w:after="0"/>
              <w:ind w:left="0"/>
              <w:jc w:val="both"/>
              <w:rPr>
                <w:color w:val="000000"/>
                <w:sz w:val="20"/>
                <w:szCs w:val="20"/>
                <w:lang w:val="pl-PL" w:eastAsia="pl-PL"/>
              </w:rPr>
            </w:pPr>
            <w:r>
              <w:rPr>
                <w:color w:val="000000"/>
                <w:sz w:val="20"/>
                <w:szCs w:val="20"/>
                <w:lang w:val="pl-PL" w:eastAsia="pl-PL"/>
              </w:rPr>
              <w:t xml:space="preserve">8. 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Liczba rejestrów p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u</w:t>
            </w:r>
            <w:r w:rsidRPr="000C4E85">
              <w:rPr>
                <w:color w:val="000000"/>
                <w:sz w:val="20"/>
                <w:szCs w:val="20"/>
                <w:lang w:val="pl-PL" w:eastAsia="pl-PL"/>
              </w:rPr>
              <w:t>blicznych o poprawionej interoperacyjności</w:t>
            </w:r>
          </w:p>
        </w:tc>
        <w:tc>
          <w:tcPr>
            <w:tcW w:w="1278" w:type="dxa"/>
            <w:vAlign w:val="center"/>
          </w:tcPr>
          <w:p w14:paraId="5275F56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12542C5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701" w:type="dxa"/>
            <w:vAlign w:val="center"/>
          </w:tcPr>
          <w:p w14:paraId="4236AB40" w14:textId="0DE659CB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268" w:type="dxa"/>
            <w:vAlign w:val="center"/>
          </w:tcPr>
          <w:p w14:paraId="46548A5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6052D5" w:rsidRPr="000C4E85" w14:paraId="7CE1CD57" w14:textId="77777777" w:rsidTr="00BE44D4">
        <w:tc>
          <w:tcPr>
            <w:tcW w:w="9634" w:type="dxa"/>
            <w:gridSpan w:val="5"/>
            <w:vAlign w:val="center"/>
          </w:tcPr>
          <w:p w14:paraId="7F6265A1" w14:textId="10ABB7B3" w:rsidR="006052D5" w:rsidRDefault="006052D5" w:rsidP="006052D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52D5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* wskaźnik rezultatu bezpośredniego Projektu do osiągnięcia w terminie 12 miesięcy od zakończenia rzeczowej realizacji Projektu, która - zgodnie z wersją porozumienia o dofinansowanie projektu obowiązującą na dzień 31 grudnia 2020 r. – przypada na 31 lipca 2021 r.</w:t>
            </w:r>
          </w:p>
        </w:tc>
      </w:tr>
    </w:tbl>
    <w:p w14:paraId="4595D05A" w14:textId="77777777" w:rsidR="00CD1DBD" w:rsidRPr="00CE3E6B" w:rsidRDefault="00CD1DBD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 xml:space="preserve">E-usługi A2A, A2B, </w:t>
      </w:r>
      <w:r w:rsidRPr="00CE3E6B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A2C</w:t>
      </w:r>
      <w:r w:rsidRPr="00CE3E6B">
        <w:rPr>
          <w:rFonts w:ascii="Arial" w:hAnsi="Arial" w:cs="Arial"/>
          <w:color w:val="auto"/>
        </w:rPr>
        <w:t xml:space="preserve"> </w:t>
      </w:r>
      <w:bookmarkStart w:id="1" w:name="_Hlk506932259"/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bookmarkEnd w:id="1"/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835"/>
        <w:gridCol w:w="2409"/>
      </w:tblGrid>
      <w:tr w:rsidR="00CD1DBD" w:rsidRPr="000C4E85" w14:paraId="5E201536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F66E47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49566B1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żenia</w:t>
            </w:r>
          </w:p>
        </w:tc>
        <w:tc>
          <w:tcPr>
            <w:tcW w:w="2835" w:type="dxa"/>
            <w:shd w:val="clear" w:color="auto" w:fill="D0CECE"/>
            <w:vAlign w:val="center"/>
          </w:tcPr>
          <w:p w14:paraId="13561E81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nia</w:t>
            </w:r>
          </w:p>
        </w:tc>
        <w:tc>
          <w:tcPr>
            <w:tcW w:w="2409" w:type="dxa"/>
            <w:shd w:val="clear" w:color="auto" w:fill="D0CECE"/>
            <w:vAlign w:val="center"/>
          </w:tcPr>
          <w:p w14:paraId="69DCFE9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7FD6E041" w14:textId="77777777">
        <w:tc>
          <w:tcPr>
            <w:tcW w:w="2937" w:type="dxa"/>
            <w:vAlign w:val="center"/>
          </w:tcPr>
          <w:p w14:paraId="0FDAAC76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wytworzenia certyf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kowanych materiałów odni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sienia (CRM) – A2B</w:t>
            </w:r>
          </w:p>
        </w:tc>
        <w:tc>
          <w:tcPr>
            <w:tcW w:w="1453" w:type="dxa"/>
            <w:vAlign w:val="center"/>
          </w:tcPr>
          <w:p w14:paraId="5316D74D" w14:textId="447C9741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  <w:vAlign w:val="center"/>
          </w:tcPr>
          <w:p w14:paraId="2E4E73C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12BD364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6F1812BC" w14:textId="77777777">
        <w:tc>
          <w:tcPr>
            <w:tcW w:w="2937" w:type="dxa"/>
            <w:vAlign w:val="center"/>
          </w:tcPr>
          <w:p w14:paraId="716627DA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przeprowadzania oc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 zgodności – A2B</w:t>
            </w:r>
          </w:p>
        </w:tc>
        <w:tc>
          <w:tcPr>
            <w:tcW w:w="1453" w:type="dxa"/>
            <w:vAlign w:val="center"/>
          </w:tcPr>
          <w:p w14:paraId="7713DB57" w14:textId="360DA932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4FD2904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BF55DB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34A6641" w14:textId="77777777">
        <w:tc>
          <w:tcPr>
            <w:tcW w:w="2937" w:type="dxa"/>
            <w:vAlign w:val="center"/>
          </w:tcPr>
          <w:p w14:paraId="0993A26C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legalizacji przyrządów pomiarowych – A2B</w:t>
            </w:r>
          </w:p>
        </w:tc>
        <w:tc>
          <w:tcPr>
            <w:tcW w:w="1453" w:type="dxa"/>
            <w:vAlign w:val="center"/>
          </w:tcPr>
          <w:p w14:paraId="7FCAC0E7" w14:textId="10CF45C4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20575C8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52863FC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9F7C462" w14:textId="77777777">
        <w:tc>
          <w:tcPr>
            <w:tcW w:w="2937" w:type="dxa"/>
            <w:vAlign w:val="center"/>
          </w:tcPr>
          <w:p w14:paraId="584189BA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wzorcowania przyrz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dów pomiarowych zgodnie z art. 6a ustawy Prawo o mi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rach – A2B</w:t>
            </w:r>
          </w:p>
        </w:tc>
        <w:tc>
          <w:tcPr>
            <w:tcW w:w="1453" w:type="dxa"/>
            <w:vAlign w:val="center"/>
          </w:tcPr>
          <w:p w14:paraId="654D94AA" w14:textId="6EA3BB08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6C4D246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667AA423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41A33DDE" w14:textId="77777777">
        <w:tc>
          <w:tcPr>
            <w:tcW w:w="2937" w:type="dxa"/>
            <w:vAlign w:val="center"/>
          </w:tcPr>
          <w:p w14:paraId="0135AC2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przeprowadzenia ek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pertyzy przyrządów pomiar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wych – A2B</w:t>
            </w:r>
          </w:p>
        </w:tc>
        <w:tc>
          <w:tcPr>
            <w:tcW w:w="1453" w:type="dxa"/>
            <w:vAlign w:val="center"/>
          </w:tcPr>
          <w:p w14:paraId="0319679A" w14:textId="4DB37193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00A82AD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E80E37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00835C87" w14:textId="77777777">
        <w:tc>
          <w:tcPr>
            <w:tcW w:w="2937" w:type="dxa"/>
            <w:vAlign w:val="center"/>
          </w:tcPr>
          <w:p w14:paraId="2E8949A9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rejestrowania podmi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tu w rejestrze producentów i importerów towarów paczk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wanych lub butelek miarowych – A2B</w:t>
            </w:r>
          </w:p>
        </w:tc>
        <w:tc>
          <w:tcPr>
            <w:tcW w:w="1453" w:type="dxa"/>
            <w:vAlign w:val="center"/>
          </w:tcPr>
          <w:p w14:paraId="63DBB454" w14:textId="72559137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7EA1F5D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26615EE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  <w:tr w:rsidR="00CD1DBD" w:rsidRPr="000C4E85" w14:paraId="2F192AAD" w14:textId="77777777">
        <w:tc>
          <w:tcPr>
            <w:tcW w:w="2937" w:type="dxa"/>
            <w:vAlign w:val="center"/>
          </w:tcPr>
          <w:p w14:paraId="4A8163E2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Usługa monitorowania ważn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ści certyfikatów – A2B</w:t>
            </w:r>
          </w:p>
        </w:tc>
        <w:tc>
          <w:tcPr>
            <w:tcW w:w="1453" w:type="dxa"/>
            <w:vAlign w:val="center"/>
          </w:tcPr>
          <w:p w14:paraId="60E1C1D2" w14:textId="36EB1677" w:rsidR="00CD1DBD" w:rsidRPr="009C6C88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835" w:type="dxa"/>
          </w:tcPr>
          <w:p w14:paraId="4FD59019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14:paraId="4F05DDC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Nie wprowadzono</w:t>
            </w:r>
          </w:p>
        </w:tc>
      </w:tr>
    </w:tbl>
    <w:p w14:paraId="73870876" w14:textId="77777777" w:rsidR="00CD1DBD" w:rsidRPr="00445572" w:rsidRDefault="00CD1DBD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</w:pPr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Udostępnione informacje sektora publicznego i </w:t>
      </w:r>
      <w:proofErr w:type="spellStart"/>
      <w:r w:rsidRPr="00445572">
        <w:rPr>
          <w:rStyle w:val="Nagwek3Znak"/>
          <w:rFonts w:ascii="Arial" w:hAnsi="Arial" w:cs="Arial"/>
          <w:b/>
          <w:bCs/>
          <w:color w:val="auto"/>
        </w:rPr>
        <w:t>zdigitalizowane</w:t>
      </w:r>
      <w:proofErr w:type="spellEnd"/>
      <w:r w:rsidRPr="00445572">
        <w:rPr>
          <w:rStyle w:val="Nagwek3Znak"/>
          <w:rFonts w:ascii="Arial" w:hAnsi="Arial" w:cs="Arial"/>
          <w:b/>
          <w:bCs/>
          <w:color w:val="auto"/>
        </w:rPr>
        <w:t xml:space="preserve"> zasoby</w:t>
      </w:r>
      <w:r w:rsidRPr="00445572">
        <w:rPr>
          <w:rStyle w:val="Nagwek3Znak"/>
          <w:rFonts w:ascii="Arial" w:hAnsi="Arial" w:cs="Arial"/>
          <w:b/>
          <w:bCs/>
          <w:color w:val="auto"/>
          <w:sz w:val="26"/>
          <w:szCs w:val="26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</w:t>
      </w:r>
      <w:r w:rsidRPr="00CE3E6B">
        <w:rPr>
          <w:rFonts w:ascii="Arial" w:hAnsi="Arial" w:cs="Arial"/>
          <w:color w:val="808080"/>
          <w:sz w:val="20"/>
          <w:szCs w:val="20"/>
        </w:rPr>
        <w:t>k</w:t>
      </w:r>
      <w:r w:rsidRPr="00CE3E6B">
        <w:rPr>
          <w:rFonts w:ascii="Arial" w:hAnsi="Arial" w:cs="Arial"/>
          <w:color w:val="808080"/>
          <w:sz w:val="20"/>
          <w:szCs w:val="20"/>
        </w:rPr>
        <w:t>symalnie 2000 znaków&gt;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453"/>
        <w:gridCol w:w="2976"/>
        <w:gridCol w:w="2268"/>
      </w:tblGrid>
      <w:tr w:rsidR="00CD1DBD" w:rsidRPr="000C4E85" w14:paraId="3D79C780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E5C7A00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53" w:type="dxa"/>
            <w:shd w:val="clear" w:color="auto" w:fill="D0CECE"/>
            <w:vAlign w:val="center"/>
          </w:tcPr>
          <w:p w14:paraId="5CC1117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żenia</w:t>
            </w:r>
          </w:p>
        </w:tc>
        <w:tc>
          <w:tcPr>
            <w:tcW w:w="2976" w:type="dxa"/>
            <w:shd w:val="clear" w:color="auto" w:fill="D0CECE"/>
            <w:vAlign w:val="center"/>
          </w:tcPr>
          <w:p w14:paraId="75C7D6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E751A2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Opis zmian</w:t>
            </w:r>
          </w:p>
        </w:tc>
      </w:tr>
      <w:tr w:rsidR="00CD1DBD" w:rsidRPr="000C4E85" w14:paraId="4FEE08B6" w14:textId="77777777">
        <w:tc>
          <w:tcPr>
            <w:tcW w:w="2937" w:type="dxa"/>
          </w:tcPr>
          <w:p w14:paraId="03E75837" w14:textId="77777777" w:rsidR="00CD1DBD" w:rsidRPr="000C4E85" w:rsidRDefault="00CD1DBD" w:rsidP="000C4E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5D2FD9DF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FC61A1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DE3317B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E66CD7" w14:textId="77777777">
        <w:tc>
          <w:tcPr>
            <w:tcW w:w="2937" w:type="dxa"/>
          </w:tcPr>
          <w:p w14:paraId="79D0FD77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6198A5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381CC4B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2B2AEBD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1C1B3699" w14:textId="77777777">
        <w:tc>
          <w:tcPr>
            <w:tcW w:w="2937" w:type="dxa"/>
          </w:tcPr>
          <w:p w14:paraId="31EA485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03E5784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15446416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BC0521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5B4F2C2F" w14:textId="77777777">
        <w:tc>
          <w:tcPr>
            <w:tcW w:w="2937" w:type="dxa"/>
          </w:tcPr>
          <w:p w14:paraId="5B0A3C0F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32AEF94C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7D9E9705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814A6C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DBD" w:rsidRPr="000C4E85" w14:paraId="751D13FB" w14:textId="77777777">
        <w:tc>
          <w:tcPr>
            <w:tcW w:w="2937" w:type="dxa"/>
          </w:tcPr>
          <w:p w14:paraId="075EE5A3" w14:textId="77777777" w:rsidR="00CD1DBD" w:rsidRPr="000C4E85" w:rsidRDefault="00CD1DBD" w:rsidP="000C4E8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14:paraId="5E9C5A8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</w:tcPr>
          <w:p w14:paraId="2F49F5B7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3642CF2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04CF3B0" w14:textId="311AA3D7" w:rsidR="007E45EE" w:rsidRDefault="007E45EE" w:rsidP="007E45EE"/>
    <w:p w14:paraId="77947CBD" w14:textId="35673068" w:rsidR="00CD1DBD" w:rsidRPr="00445572" w:rsidRDefault="00CD1DBD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445572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lastRenderedPageBreak/>
        <w:t>Produkty końcowe projektu</w:t>
      </w:r>
      <w:r w:rsidRPr="0044557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445572">
        <w:rPr>
          <w:rFonts w:ascii="Arial" w:hAnsi="Arial" w:cs="Arial"/>
          <w:color w:val="auto"/>
        </w:rPr>
        <w:t xml:space="preserve"> </w:t>
      </w:r>
      <w:r w:rsidRPr="00CE3E6B">
        <w:rPr>
          <w:rFonts w:ascii="Arial" w:hAnsi="Arial" w:cs="Arial"/>
          <w:color w:val="808080"/>
          <w:sz w:val="20"/>
          <w:szCs w:val="20"/>
        </w:rPr>
        <w:t>&lt;maksymalnie 2000 znaków&gt;</w:t>
      </w:r>
      <w:r w:rsidRPr="00445572">
        <w:rPr>
          <w:rFonts w:ascii="Arial" w:hAnsi="Arial" w:cs="Arial"/>
          <w:color w:val="auto"/>
          <w:sz w:val="20"/>
          <w:szCs w:val="20"/>
        </w:rPr>
        <w:t xml:space="preserve"> </w:t>
      </w:r>
    </w:p>
    <w:tbl>
      <w:tblPr>
        <w:tblW w:w="991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1701"/>
        <w:gridCol w:w="2404"/>
        <w:gridCol w:w="2551"/>
      </w:tblGrid>
      <w:tr w:rsidR="00CD1DBD" w:rsidRPr="000C4E85" w14:paraId="728BB7C5" w14:textId="77777777" w:rsidTr="00B37E08">
        <w:trPr>
          <w:tblHeader/>
        </w:trPr>
        <w:tc>
          <w:tcPr>
            <w:tcW w:w="3261" w:type="dxa"/>
            <w:shd w:val="clear" w:color="auto" w:fill="D0CECE"/>
            <w:vAlign w:val="center"/>
          </w:tcPr>
          <w:p w14:paraId="168268E8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3FF44B4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2404" w:type="dxa"/>
            <w:shd w:val="clear" w:color="auto" w:fill="D0CECE"/>
            <w:vAlign w:val="center"/>
          </w:tcPr>
          <w:p w14:paraId="12FB7E9E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553522FA" w14:textId="77777777" w:rsidR="00CD1DBD" w:rsidRPr="000C4E85" w:rsidRDefault="00CD1DBD" w:rsidP="000C4E8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Komplementarność względem produktów innych projektów</w:t>
            </w:r>
          </w:p>
        </w:tc>
      </w:tr>
      <w:tr w:rsidR="00CD1DBD" w:rsidRPr="000C4E85" w14:paraId="5155862E" w14:textId="77777777" w:rsidTr="00B37E08">
        <w:trPr>
          <w:cantSplit/>
        </w:trPr>
        <w:tc>
          <w:tcPr>
            <w:tcW w:w="3261" w:type="dxa"/>
            <w:vAlign w:val="center"/>
          </w:tcPr>
          <w:p w14:paraId="7515F06E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Rejestry publiczne o poprawionej interoperacyjności: rejestr danych identyfikacyjnych i teleadres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wych przedsiębiorców i instytucji publicznych wykorzystujących przyrządy pomiarowe; rejestr podmiotów, które zostały up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ważnione do legalizacji pierwotnej i ponownej określonych przyrz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dów pomiarowych oraz 2 rejestry zezwoleń wydanych przez Prez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sa GUM na prowadzenie działa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ności gospodarczej i warsztatu w zakresie instalacji, napraw lub sprawdzania urządzeń rejestruj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cych.</w:t>
            </w:r>
          </w:p>
        </w:tc>
        <w:tc>
          <w:tcPr>
            <w:tcW w:w="1701" w:type="dxa"/>
            <w:vAlign w:val="center"/>
          </w:tcPr>
          <w:p w14:paraId="65B5B381" w14:textId="16F96BA4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06B44C56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4DE12501" w14:textId="37B8BB6E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Realizowany Projekt nie wykazuje komplementa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ności z innymi projektami. Funkcjonalności systemu ŚWITEŹ są projektowane odpowiednio do zakresu działania i unikatowych w skali kraju zadań admin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stracji miar. Wskazany produkt zintegruje w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wnętrzne rejestry Urzędu.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cjonalnych systemu ŚWITEŹ, które umożliwią implementację tych rej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strów i danych w nich zgromadzonych do zakł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danych do uruchomienia w ramach systemu usług </w:t>
            </w:r>
          </w:p>
        </w:tc>
      </w:tr>
      <w:tr w:rsidR="00CD1DBD" w:rsidRPr="000C4E85" w14:paraId="3DC91FF3" w14:textId="77777777" w:rsidTr="00B37E08">
        <w:trPr>
          <w:cantSplit/>
        </w:trPr>
        <w:tc>
          <w:tcPr>
            <w:tcW w:w="3261" w:type="dxa"/>
            <w:vAlign w:val="center"/>
          </w:tcPr>
          <w:p w14:paraId="5909855A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komunikacji w zakresie skł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danych dokumentów elektronic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nych i informacji o ich doręczeniu (możliwości implementacji kanału komunikacji w systemach w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wnętrznych przedsiębiorców).</w:t>
            </w:r>
          </w:p>
        </w:tc>
        <w:tc>
          <w:tcPr>
            <w:tcW w:w="1701" w:type="dxa"/>
            <w:vAlign w:val="center"/>
          </w:tcPr>
          <w:p w14:paraId="5D4DA416" w14:textId="06281408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069CCA65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480D3578" w14:textId="12C986FB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</w:t>
            </w:r>
            <w:r w:rsidR="00474506" w:rsidRPr="003A2277">
              <w:rPr>
                <w:rFonts w:ascii="Arial" w:hAnsi="Arial" w:cs="Arial"/>
                <w:color w:val="000000"/>
                <w:sz w:val="20"/>
                <w:szCs w:val="20"/>
              </w:rPr>
              <w:t>platformą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cjonalnych i technicznych, które umożliwią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ce tych systemów. </w:t>
            </w:r>
          </w:p>
        </w:tc>
      </w:tr>
      <w:tr w:rsidR="00CD1DBD" w:rsidRPr="000C4E85" w14:paraId="162F4ED5" w14:textId="77777777" w:rsidTr="00B37E08">
        <w:trPr>
          <w:cantSplit/>
        </w:trPr>
        <w:tc>
          <w:tcPr>
            <w:tcW w:w="3261" w:type="dxa"/>
            <w:vAlign w:val="center"/>
          </w:tcPr>
          <w:p w14:paraId="67DB8192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pobierania informacji z baz danych GUM łącznie z załączn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kami, jeżeli takie występują (np. pliki graficzne).</w:t>
            </w:r>
          </w:p>
        </w:tc>
        <w:tc>
          <w:tcPr>
            <w:tcW w:w="1701" w:type="dxa"/>
            <w:vAlign w:val="center"/>
          </w:tcPr>
          <w:p w14:paraId="6B06A523" w14:textId="5A50A333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78FA2D84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30B12042" w14:textId="159B4AD6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</w:t>
            </w:r>
            <w:r w:rsidR="00474506" w:rsidRPr="003A2277">
              <w:rPr>
                <w:rFonts w:ascii="Arial" w:hAnsi="Arial" w:cs="Arial"/>
                <w:color w:val="000000"/>
                <w:sz w:val="20"/>
                <w:szCs w:val="20"/>
              </w:rPr>
              <w:t>platformą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ePUAP</w:t>
            </w:r>
            <w:proofErr w:type="spellEnd"/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funkcj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nalnych i technicznych, które umożliwią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cę tych systemów.</w:t>
            </w:r>
          </w:p>
        </w:tc>
      </w:tr>
      <w:tr w:rsidR="00CD1DBD" w:rsidRPr="000C4E85" w14:paraId="75450634" w14:textId="77777777" w:rsidTr="00B37E08">
        <w:trPr>
          <w:cantSplit/>
        </w:trPr>
        <w:tc>
          <w:tcPr>
            <w:tcW w:w="3261" w:type="dxa"/>
            <w:vAlign w:val="center"/>
          </w:tcPr>
          <w:p w14:paraId="2FF00677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Dedykowany otwarty interfejs API do udostępniania informacji stat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stycznej GUM Rozszerzanie 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kresu danych i źródeł informacji udostępnianych na wspólnych portalach administracji publicznej.</w:t>
            </w:r>
          </w:p>
        </w:tc>
        <w:tc>
          <w:tcPr>
            <w:tcW w:w="1701" w:type="dxa"/>
            <w:vAlign w:val="center"/>
          </w:tcPr>
          <w:p w14:paraId="2634C8D7" w14:textId="0CE751CE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5209B021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58B6BB87" w14:textId="6404BAE3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cował z systemami i prz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jętymi w administracji publicznej procedurami.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żeniem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wymagań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cjonalnych i technicznych, które umożliwią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cę tych systemów w tym wymianę informacji mi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dzy nimi.</w:t>
            </w:r>
          </w:p>
        </w:tc>
      </w:tr>
      <w:tr w:rsidR="00CD1DBD" w:rsidRPr="000C4E85" w14:paraId="58AB596C" w14:textId="77777777" w:rsidTr="00B37E08">
        <w:trPr>
          <w:cantSplit/>
        </w:trPr>
        <w:tc>
          <w:tcPr>
            <w:tcW w:w="3261" w:type="dxa"/>
            <w:vAlign w:val="center"/>
          </w:tcPr>
          <w:p w14:paraId="740BE2C3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System będzie korzystać z d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stępnych referencyjnych zbiorów danych administracji państwowej w zakresie uzupełniania danych wprowadzanych przez Klientów lub ich weryfikacji m.in. w zakr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sie numeru NIP, numeru REGON lub wpisu do rejestru KRS.</w:t>
            </w:r>
          </w:p>
        </w:tc>
        <w:tc>
          <w:tcPr>
            <w:tcW w:w="1701" w:type="dxa"/>
            <w:vAlign w:val="center"/>
          </w:tcPr>
          <w:p w14:paraId="07074602" w14:textId="4840FA87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3D15753F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7B3FC667" w14:textId="7E97744C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Produkt będzie współpr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cował z systemami i był kompatybilny z przyjętymi w administracji publicznej procedurami w zakresie udostępniania i wymiany danych. Trwają prace nad 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wdroże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niem wymagań funkcjonalnych i technic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nych, które umożliwią współpracę tych syst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mów w tym wymianę 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formacji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mi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dzy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nimi.</w:t>
            </w:r>
          </w:p>
        </w:tc>
      </w:tr>
      <w:tr w:rsidR="00CD1DBD" w:rsidRPr="000C4E85" w14:paraId="7E1699CF" w14:textId="77777777" w:rsidTr="00B37E08">
        <w:trPr>
          <w:cantSplit/>
        </w:trPr>
        <w:tc>
          <w:tcPr>
            <w:tcW w:w="3261" w:type="dxa"/>
            <w:vAlign w:val="center"/>
          </w:tcPr>
          <w:p w14:paraId="409275C0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Wdrożony system wsparcia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formatycznego usług terenowej administracji miar „Świteź”</w:t>
            </w:r>
          </w:p>
        </w:tc>
        <w:tc>
          <w:tcPr>
            <w:tcW w:w="1701" w:type="dxa"/>
            <w:vAlign w:val="center"/>
          </w:tcPr>
          <w:p w14:paraId="4DBC27B5" w14:textId="1A706A61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464C263E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7263EA0B" w14:textId="13558558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System ŚWITEŹ będzie elementem usług admin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stracji publicznej. Z uwagi na unikatowość usług świadczonych przez 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ministrację miar, system ten będzie opierał się na dedykowanych rozwiąz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niach, które będą ko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plementarne i kompatybi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ne z funkcjonującymi już usługami w administracji publicznej.</w:t>
            </w:r>
          </w:p>
        </w:tc>
      </w:tr>
      <w:tr w:rsidR="00CD1DBD" w:rsidRPr="000C4E85" w14:paraId="3EC019D4" w14:textId="77777777" w:rsidTr="00B37E08">
        <w:trPr>
          <w:cantSplit/>
        </w:trPr>
        <w:tc>
          <w:tcPr>
            <w:tcW w:w="3261" w:type="dxa"/>
            <w:vAlign w:val="center"/>
          </w:tcPr>
          <w:p w14:paraId="4417971B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Infrastruktura programowo-sprzętowa terenowej administracji miar, w tym stanowiska mobilne.</w:t>
            </w:r>
          </w:p>
        </w:tc>
        <w:tc>
          <w:tcPr>
            <w:tcW w:w="1701" w:type="dxa"/>
            <w:vAlign w:val="center"/>
          </w:tcPr>
          <w:p w14:paraId="580CB8DB" w14:textId="54C24C6E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7B1C7F6C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0F515896" w14:textId="7777777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Projektowany system oraz planowana do zakupienia w ramach realizacji pr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jektu infrastruktura ma zapewnić poziom tec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niczny umożliwiający współpracę systemu ŚWITEŹ z innymi fun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cjonującymi w administr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 xml:space="preserve">cji publicznej systemami oraz swobodną wymianę danych pomiędzy nimi. </w:t>
            </w:r>
          </w:p>
        </w:tc>
      </w:tr>
      <w:tr w:rsidR="00CD1DBD" w:rsidRPr="000C4E85" w14:paraId="6226BB85" w14:textId="77777777" w:rsidTr="00B37E08">
        <w:trPr>
          <w:cantSplit/>
        </w:trPr>
        <w:tc>
          <w:tcPr>
            <w:tcW w:w="3261" w:type="dxa"/>
            <w:vAlign w:val="center"/>
          </w:tcPr>
          <w:p w14:paraId="6AABC1B7" w14:textId="77777777" w:rsidR="00CD1DBD" w:rsidRPr="000C4E85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Hosting infrastruktury serwerowej.</w:t>
            </w:r>
          </w:p>
        </w:tc>
        <w:tc>
          <w:tcPr>
            <w:tcW w:w="1701" w:type="dxa"/>
            <w:vAlign w:val="center"/>
          </w:tcPr>
          <w:p w14:paraId="5A33724E" w14:textId="0151E034" w:rsidR="00CD1DBD" w:rsidRPr="009C6C88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="009C6C88"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Pr="009C6C8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2404" w:type="dxa"/>
            <w:vAlign w:val="center"/>
          </w:tcPr>
          <w:p w14:paraId="02B4F89A" w14:textId="77777777" w:rsidR="00CD1DBD" w:rsidRPr="000C4E85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14:paraId="73B1CC63" w14:textId="7777777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Brak komplanarności z innymi produktami.</w:t>
            </w:r>
          </w:p>
          <w:p w14:paraId="06FAE4C3" w14:textId="52E92CA7" w:rsidR="00CD1DBD" w:rsidRPr="003A2277" w:rsidRDefault="00CD1DBD" w:rsidP="00C36D4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Usługa hostingu infr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struktury serwerowej b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dzie dedykowana wyłąc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3A2277">
              <w:rPr>
                <w:rFonts w:ascii="Arial" w:hAnsi="Arial" w:cs="Arial"/>
                <w:color w:val="000000"/>
                <w:sz w:val="20"/>
                <w:szCs w:val="20"/>
              </w:rPr>
              <w:t>nie dla projektowanego systemu „ŚWITEŹ”</w:t>
            </w:r>
            <w:r w:rsidR="003A2277" w:rsidRPr="003A227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2F4BD61" w14:textId="77777777" w:rsidR="00CD1DBD" w:rsidRPr="002D61BA" w:rsidRDefault="00CD1DBD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D61BA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Ryzyka</w:t>
      </w:r>
      <w:r w:rsidRPr="002D61BA">
        <w:rPr>
          <w:rStyle w:val="Nagwek3Znak"/>
          <w:rFonts w:ascii="Arial" w:hAnsi="Arial" w:cs="Arial"/>
          <w:b/>
          <w:bCs/>
          <w:color w:val="auto"/>
        </w:rPr>
        <w:t xml:space="preserve"> </w:t>
      </w:r>
      <w:r w:rsidRPr="002D61BA">
        <w:rPr>
          <w:rFonts w:ascii="Arial" w:hAnsi="Arial" w:cs="Arial"/>
          <w:color w:val="0070C0"/>
        </w:rPr>
        <w:t xml:space="preserve">  </w:t>
      </w:r>
      <w:r w:rsidRPr="002D61BA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14:paraId="0211E079" w14:textId="77777777" w:rsidR="00CD1DBD" w:rsidRPr="00141A92" w:rsidRDefault="00CD1DBD" w:rsidP="00F25348">
      <w:pPr>
        <w:spacing w:after="120"/>
        <w:rPr>
          <w:rFonts w:ascii="Arial" w:hAnsi="Arial" w:cs="Arial"/>
          <w:sz w:val="20"/>
          <w:szCs w:val="20"/>
        </w:rPr>
      </w:pPr>
      <w:r w:rsidRPr="002D61BA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410"/>
        <w:gridCol w:w="2552"/>
      </w:tblGrid>
      <w:tr w:rsidR="00CD1DBD" w:rsidRPr="000C4E85" w14:paraId="49CF376F" w14:textId="77777777" w:rsidTr="00100AD1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02DD3836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7BC22735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Siła oddział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wania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62670C49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/>
            <w:vAlign w:val="center"/>
          </w:tcPr>
          <w:p w14:paraId="264F4322" w14:textId="77777777" w:rsidR="00CD1DBD" w:rsidRPr="000C4E85" w:rsidRDefault="00CD1DBD" w:rsidP="000C4E85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4E85">
              <w:rPr>
                <w:rFonts w:ascii="Arial" w:hAnsi="Arial" w:cs="Arial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CC8197F" w14:textId="77777777" w:rsidTr="00100AD1">
        <w:tc>
          <w:tcPr>
            <w:tcW w:w="3265" w:type="dxa"/>
            <w:vAlign w:val="center"/>
          </w:tcPr>
          <w:p w14:paraId="2D8E6D20" w14:textId="78D25D1A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_Hlk22930938"/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Przekroczenie zakładanych kos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 xml:space="preserve">tów </w:t>
            </w:r>
            <w:r w:rsidR="006052D5">
              <w:rPr>
                <w:rFonts w:ascii="Arial" w:hAnsi="Arial" w:cs="Arial"/>
                <w:color w:val="000000"/>
                <w:sz w:val="20"/>
                <w:szCs w:val="20"/>
              </w:rPr>
              <w:t xml:space="preserve">i terminu 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realizacji projektu</w:t>
            </w:r>
          </w:p>
        </w:tc>
        <w:tc>
          <w:tcPr>
            <w:tcW w:w="1697" w:type="dxa"/>
            <w:vAlign w:val="center"/>
          </w:tcPr>
          <w:p w14:paraId="4BFD2942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410" w:type="dxa"/>
            <w:vAlign w:val="center"/>
          </w:tcPr>
          <w:p w14:paraId="4A24B18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vAlign w:val="center"/>
          </w:tcPr>
          <w:p w14:paraId="6F19004C" w14:textId="77777777" w:rsidR="006052D5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 xml:space="preserve">Kontrola pracochłonności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i czasochłonności </w:t>
            </w:r>
            <w:r w:rsidRPr="00367909">
              <w:rPr>
                <w:rFonts w:ascii="Arial" w:hAnsi="Arial" w:cs="Arial"/>
                <w:sz w:val="20"/>
                <w:szCs w:val="20"/>
              </w:rPr>
              <w:t>wytw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>rzania oprogramowania, weryfikacja pozostałych kosztów</w:t>
            </w:r>
            <w:r>
              <w:rPr>
                <w:rFonts w:ascii="Arial" w:hAnsi="Arial" w:cs="Arial"/>
                <w:sz w:val="20"/>
                <w:szCs w:val="20"/>
              </w:rPr>
              <w:t xml:space="preserve"> i terminów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średnich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, formułowanie </w:t>
            </w:r>
            <w:r w:rsidRPr="00367909">
              <w:rPr>
                <w:rFonts w:ascii="Arial" w:hAnsi="Arial" w:cs="Arial"/>
                <w:sz w:val="20"/>
                <w:szCs w:val="20"/>
              </w:rPr>
              <w:lastRenderedPageBreak/>
              <w:t>zadań z wykorzystaniem prawa opcji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tolerancją czasową</w:t>
            </w:r>
            <w:r w:rsidRPr="00367909">
              <w:rPr>
                <w:rFonts w:ascii="Arial" w:hAnsi="Arial" w:cs="Arial"/>
                <w:sz w:val="20"/>
                <w:szCs w:val="20"/>
              </w:rPr>
              <w:t>, utworzenie rezerwy finansowej</w:t>
            </w:r>
            <w:r>
              <w:rPr>
                <w:rFonts w:ascii="Arial" w:hAnsi="Arial" w:cs="Arial"/>
                <w:sz w:val="20"/>
                <w:szCs w:val="20"/>
              </w:rPr>
              <w:t xml:space="preserve"> i buf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ru czasowego</w:t>
            </w:r>
            <w:r w:rsidRPr="0036790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D2D5474" w14:textId="77777777" w:rsidR="006052D5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Spodziewanymi efektami działań jest zapobieżenie przekroczeniu planow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nych kosztów </w:t>
            </w:r>
            <w:r>
              <w:rPr>
                <w:rFonts w:ascii="Arial" w:hAnsi="Arial" w:cs="Arial"/>
                <w:sz w:val="20"/>
                <w:szCs w:val="20"/>
              </w:rPr>
              <w:t xml:space="preserve">i terminów </w:t>
            </w:r>
            <w:r w:rsidRPr="00367909">
              <w:rPr>
                <w:rFonts w:ascii="Arial" w:hAnsi="Arial" w:cs="Arial"/>
                <w:sz w:val="20"/>
                <w:szCs w:val="20"/>
              </w:rPr>
              <w:t>realizacji projektu przy jednoczesnym zachow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niu maksymalnej jakości oczekiwanych produktów. </w:t>
            </w:r>
          </w:p>
          <w:p w14:paraId="15A4C28B" w14:textId="3F0DAEE5" w:rsidR="00CD1DBD" w:rsidRPr="00367909" w:rsidRDefault="006052D5" w:rsidP="006052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</w:t>
            </w:r>
            <w:r w:rsidRPr="00367909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ku do poprzedniego okr</w:t>
            </w:r>
            <w:r w:rsidRPr="00367909">
              <w:rPr>
                <w:rFonts w:ascii="Arial" w:hAnsi="Arial" w:cs="Arial"/>
                <w:sz w:val="20"/>
                <w:szCs w:val="20"/>
              </w:rPr>
              <w:t>e</w:t>
            </w:r>
            <w:r w:rsidRPr="00367909">
              <w:rPr>
                <w:rFonts w:ascii="Arial" w:hAnsi="Arial" w:cs="Arial"/>
                <w:sz w:val="20"/>
                <w:szCs w:val="20"/>
              </w:rPr>
              <w:t>su sprawozdawczego pozostaje bez zmian.</w:t>
            </w:r>
          </w:p>
        </w:tc>
      </w:tr>
      <w:tr w:rsidR="00CD1DBD" w:rsidRPr="000C4E85" w14:paraId="0CE6C5F2" w14:textId="77777777" w:rsidTr="00100AD1">
        <w:tc>
          <w:tcPr>
            <w:tcW w:w="3265" w:type="dxa"/>
            <w:vAlign w:val="center"/>
          </w:tcPr>
          <w:p w14:paraId="53871685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Niewystarczające zasoby kadr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we</w:t>
            </w:r>
          </w:p>
        </w:tc>
        <w:tc>
          <w:tcPr>
            <w:tcW w:w="1697" w:type="dxa"/>
            <w:vAlign w:val="center"/>
          </w:tcPr>
          <w:p w14:paraId="0077D00D" w14:textId="69225AA3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Duże</w:t>
            </w:r>
          </w:p>
        </w:tc>
        <w:tc>
          <w:tcPr>
            <w:tcW w:w="2410" w:type="dxa"/>
            <w:vAlign w:val="center"/>
          </w:tcPr>
          <w:p w14:paraId="0F752D23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vAlign w:val="center"/>
          </w:tcPr>
          <w:p w14:paraId="1D5143DA" w14:textId="77777777" w:rsidR="00CD1DBD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Przydzielenie odpowie</w:t>
            </w:r>
            <w:r w:rsidRPr="002D61BA">
              <w:rPr>
                <w:rFonts w:ascii="Arial" w:hAnsi="Arial" w:cs="Arial"/>
                <w:sz w:val="20"/>
                <w:szCs w:val="20"/>
              </w:rPr>
              <w:t>d</w:t>
            </w:r>
            <w:r w:rsidRPr="002D61BA">
              <w:rPr>
                <w:rFonts w:ascii="Arial" w:hAnsi="Arial" w:cs="Arial"/>
                <w:sz w:val="20"/>
                <w:szCs w:val="20"/>
              </w:rPr>
              <w:t>nich zasobów do realizacji projektu, zaangażowanie zewnętrznego doradcy technicznego. Zastos</w:t>
            </w:r>
            <w:r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Pr="002D61BA">
              <w:rPr>
                <w:rFonts w:ascii="Arial" w:hAnsi="Arial" w:cs="Arial"/>
                <w:sz w:val="20"/>
                <w:szCs w:val="20"/>
              </w:rPr>
              <w:t>wanie metodyki zarz</w:t>
            </w:r>
            <w:r w:rsidRPr="002D61BA">
              <w:rPr>
                <w:rFonts w:ascii="Arial" w:hAnsi="Arial" w:cs="Arial"/>
                <w:sz w:val="20"/>
                <w:szCs w:val="20"/>
              </w:rPr>
              <w:t>ą</w:t>
            </w:r>
            <w:r w:rsidRPr="002D61BA">
              <w:rPr>
                <w:rFonts w:ascii="Arial" w:hAnsi="Arial" w:cs="Arial"/>
                <w:sz w:val="20"/>
                <w:szCs w:val="20"/>
              </w:rPr>
              <w:t>dzania w zakresie kszta</w:t>
            </w:r>
            <w:r w:rsidRPr="002D61BA">
              <w:rPr>
                <w:rFonts w:ascii="Arial" w:hAnsi="Arial" w:cs="Arial"/>
                <w:sz w:val="20"/>
                <w:szCs w:val="20"/>
              </w:rPr>
              <w:t>ł</w:t>
            </w:r>
            <w:r w:rsidRPr="002D61BA">
              <w:rPr>
                <w:rFonts w:ascii="Arial" w:hAnsi="Arial" w:cs="Arial"/>
                <w:sz w:val="20"/>
                <w:szCs w:val="20"/>
              </w:rPr>
              <w:t>towania zespołu.</w:t>
            </w:r>
          </w:p>
          <w:p w14:paraId="3A69AAE1" w14:textId="7E7D9BC1" w:rsidR="00472CD9" w:rsidRPr="002D61BA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oczekiwanych produktów w projekcie poprzez o</w:t>
            </w:r>
            <w:r w:rsidRPr="002D61BA">
              <w:rPr>
                <w:rFonts w:ascii="Arial" w:hAnsi="Arial" w:cs="Arial"/>
                <w:sz w:val="20"/>
                <w:szCs w:val="20"/>
              </w:rPr>
              <w:t>d</w:t>
            </w:r>
            <w:r w:rsidRPr="002D61BA">
              <w:rPr>
                <w:rFonts w:ascii="Arial" w:hAnsi="Arial" w:cs="Arial"/>
                <w:sz w:val="20"/>
                <w:szCs w:val="20"/>
              </w:rPr>
              <w:t>powiedni dobór kadry eksperckiej oraz poz</w:t>
            </w:r>
            <w:r w:rsidRPr="002D61BA">
              <w:rPr>
                <w:rFonts w:ascii="Arial" w:hAnsi="Arial" w:cs="Arial"/>
                <w:sz w:val="20"/>
                <w:szCs w:val="20"/>
              </w:rPr>
              <w:t>y</w:t>
            </w:r>
            <w:r w:rsidRPr="002D61BA">
              <w:rPr>
                <w:rFonts w:ascii="Arial" w:hAnsi="Arial" w:cs="Arial"/>
                <w:sz w:val="20"/>
                <w:szCs w:val="20"/>
              </w:rPr>
              <w:t>skanie wsparcia w obsz</w:t>
            </w:r>
            <w:r w:rsidRPr="002D61BA">
              <w:rPr>
                <w:rFonts w:ascii="Arial" w:hAnsi="Arial" w:cs="Arial"/>
                <w:sz w:val="20"/>
                <w:szCs w:val="20"/>
              </w:rPr>
              <w:t>a</w:t>
            </w:r>
            <w:r w:rsidRPr="002D61BA">
              <w:rPr>
                <w:rFonts w:ascii="Arial" w:hAnsi="Arial" w:cs="Arial"/>
                <w:sz w:val="20"/>
                <w:szCs w:val="20"/>
              </w:rPr>
              <w:t>rach, w których benef</w:t>
            </w:r>
            <w:r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Pr="002D61BA">
              <w:rPr>
                <w:rFonts w:ascii="Arial" w:hAnsi="Arial" w:cs="Arial"/>
                <w:sz w:val="20"/>
                <w:szCs w:val="20"/>
              </w:rPr>
              <w:t>cjent nie dysponuje w</w:t>
            </w:r>
            <w:r w:rsidRPr="002D61BA">
              <w:rPr>
                <w:rFonts w:ascii="Arial" w:hAnsi="Arial" w:cs="Arial"/>
                <w:sz w:val="20"/>
                <w:szCs w:val="20"/>
              </w:rPr>
              <w:t>y</w:t>
            </w:r>
            <w:r w:rsidRPr="002D61BA">
              <w:rPr>
                <w:rFonts w:ascii="Arial" w:hAnsi="Arial" w:cs="Arial"/>
                <w:sz w:val="20"/>
                <w:szCs w:val="20"/>
              </w:rPr>
              <w:t>starczającymi zasobami. Elementem, który w sp</w:t>
            </w:r>
            <w:r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sób znaczący podnosi poziom ryzyka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tym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obszarze jest aktualna sytuacja w kraju związana z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trwającym </w:t>
            </w:r>
            <w:r w:rsidRPr="002D61BA">
              <w:rPr>
                <w:rFonts w:ascii="Arial" w:hAnsi="Arial" w:cs="Arial"/>
                <w:sz w:val="20"/>
                <w:szCs w:val="20"/>
              </w:rPr>
              <w:t>stan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em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 ep</w:t>
            </w:r>
            <w:r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Pr="002D61BA">
              <w:rPr>
                <w:rFonts w:ascii="Arial" w:hAnsi="Arial" w:cs="Arial"/>
                <w:sz w:val="20"/>
                <w:szCs w:val="20"/>
              </w:rPr>
              <w:t>dem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icznym.</w:t>
            </w:r>
            <w:r w:rsidR="00646343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Beneficjent w celu minimalizacji ryzyka utraty kadry i wsparcia merytorycznego w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okresie pełnego rygoru kwara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tanny i izolacji społecznej, </w:t>
            </w:r>
            <w:r w:rsidRPr="002D61BA">
              <w:rPr>
                <w:rFonts w:ascii="Arial" w:hAnsi="Arial" w:cs="Arial"/>
                <w:sz w:val="20"/>
                <w:szCs w:val="20"/>
              </w:rPr>
              <w:t>zalecił prowadzenie pracy kadry projektowej zdalnie.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W obecnie trwającym okresie </w:t>
            </w:r>
            <w:r w:rsidR="00474506">
              <w:rPr>
                <w:rFonts w:ascii="Arial" w:hAnsi="Arial" w:cs="Arial"/>
                <w:sz w:val="20"/>
                <w:szCs w:val="20"/>
              </w:rPr>
              <w:t>wzrostu zachor</w:t>
            </w:r>
            <w:r w:rsidR="00474506">
              <w:rPr>
                <w:rFonts w:ascii="Arial" w:hAnsi="Arial" w:cs="Arial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sz w:val="20"/>
                <w:szCs w:val="20"/>
              </w:rPr>
              <w:t>walności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Beneficjent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podejm</w:t>
            </w:r>
            <w:r w:rsidR="00474506">
              <w:rPr>
                <w:rFonts w:ascii="Arial" w:hAnsi="Arial" w:cs="Arial"/>
                <w:sz w:val="20"/>
                <w:szCs w:val="20"/>
              </w:rPr>
              <w:t>uje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środki zabe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pieczające zdrowie i życie członków zespołu proje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k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towego – </w:t>
            </w:r>
            <w:r w:rsidR="00B3277E" w:rsidRPr="002D61BA">
              <w:rPr>
                <w:rFonts w:ascii="Arial" w:hAnsi="Arial" w:cs="Arial"/>
                <w:sz w:val="20"/>
                <w:szCs w:val="20"/>
              </w:rPr>
              <w:t>poprzez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 min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malizację kontaktów 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(prac części zespołu w formie </w:t>
            </w:r>
            <w:r w:rsidR="00474506">
              <w:rPr>
                <w:rFonts w:ascii="Arial" w:hAnsi="Arial" w:cs="Arial"/>
                <w:sz w:val="20"/>
                <w:szCs w:val="20"/>
              </w:rPr>
              <w:lastRenderedPageBreak/>
              <w:t xml:space="preserve">zdalnej)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stosow</w:t>
            </w:r>
            <w:r w:rsidR="00474506">
              <w:rPr>
                <w:rFonts w:ascii="Arial" w:hAnsi="Arial" w:cs="Arial"/>
                <w:sz w:val="20"/>
                <w:szCs w:val="20"/>
              </w:rPr>
              <w:t>a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nie środków ochrony osob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C735A7" w:rsidRPr="002D61BA">
              <w:rPr>
                <w:rFonts w:ascii="Arial" w:hAnsi="Arial" w:cs="Arial"/>
                <w:sz w:val="20"/>
                <w:szCs w:val="20"/>
              </w:rPr>
              <w:t xml:space="preserve">stej. </w:t>
            </w:r>
          </w:p>
          <w:p w14:paraId="387F7636" w14:textId="29A49E56" w:rsidR="00CD1DBD" w:rsidRPr="002D61BA" w:rsidRDefault="00B3277E" w:rsidP="0006620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1BA">
              <w:rPr>
                <w:rFonts w:ascii="Arial" w:hAnsi="Arial" w:cs="Arial"/>
                <w:sz w:val="20"/>
                <w:szCs w:val="20"/>
              </w:rPr>
              <w:t xml:space="preserve">Jednakże z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uwagi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n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a wiele czynników, które mają wpływ na rozwój zdarzeń w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o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bszarze zdrowia i życia członków zespołu i </w:t>
            </w:r>
            <w:r w:rsidR="00EC793B" w:rsidRPr="002D61BA">
              <w:rPr>
                <w:rFonts w:ascii="Arial" w:hAnsi="Arial" w:cs="Arial"/>
                <w:sz w:val="20"/>
                <w:szCs w:val="20"/>
              </w:rPr>
              <w:t xml:space="preserve">funkcjonowania na rynku 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podmiotów świadczących usługi wsparcia w projekcie oraz wynikająca z tego tru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d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ność beneficjenta w 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i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nimalizowaniu skutków</w:t>
            </w:r>
            <w:r w:rsidR="00474506">
              <w:rPr>
                <w:rFonts w:ascii="Arial" w:hAnsi="Arial" w:cs="Arial"/>
                <w:sz w:val="20"/>
                <w:szCs w:val="20"/>
              </w:rPr>
              <w:t xml:space="preserve"> w tym obszarze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,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 xml:space="preserve"> poziom ryzyk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2D61BA">
              <w:rPr>
                <w:rFonts w:ascii="Arial" w:hAnsi="Arial" w:cs="Arial"/>
                <w:sz w:val="20"/>
                <w:szCs w:val="20"/>
              </w:rPr>
              <w:t>w bieżącym okr</w:t>
            </w:r>
            <w:r w:rsidRPr="002D61BA">
              <w:rPr>
                <w:rFonts w:ascii="Arial" w:hAnsi="Arial" w:cs="Arial"/>
                <w:sz w:val="20"/>
                <w:szCs w:val="20"/>
              </w:rPr>
              <w:t>e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="005B0D04" w:rsidRPr="002D61BA">
              <w:rPr>
                <w:rFonts w:ascii="Arial" w:hAnsi="Arial" w:cs="Arial"/>
                <w:sz w:val="20"/>
                <w:szCs w:val="20"/>
              </w:rPr>
              <w:t>zosta</w:t>
            </w:r>
            <w:r w:rsidRPr="002D61BA">
              <w:rPr>
                <w:rFonts w:ascii="Arial" w:hAnsi="Arial" w:cs="Arial"/>
                <w:sz w:val="20"/>
                <w:szCs w:val="20"/>
              </w:rPr>
              <w:t xml:space="preserve">je utrzymany </w:t>
            </w:r>
            <w:r w:rsidR="002D61BA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2D61BA">
              <w:rPr>
                <w:rFonts w:ascii="Arial" w:hAnsi="Arial" w:cs="Arial"/>
                <w:sz w:val="20"/>
                <w:szCs w:val="20"/>
              </w:rPr>
              <w:t>poziomie</w:t>
            </w:r>
            <w:r w:rsidR="00527F19" w:rsidRPr="002D61BA">
              <w:rPr>
                <w:rFonts w:ascii="Arial" w:hAnsi="Arial" w:cs="Arial"/>
                <w:sz w:val="20"/>
                <w:szCs w:val="20"/>
              </w:rPr>
              <w:t xml:space="preserve"> duż</w:t>
            </w:r>
            <w:r w:rsidRPr="002D61BA">
              <w:rPr>
                <w:rFonts w:ascii="Arial" w:hAnsi="Arial" w:cs="Arial"/>
                <w:sz w:val="20"/>
                <w:szCs w:val="20"/>
              </w:rPr>
              <w:t>ym</w:t>
            </w:r>
            <w:r w:rsidR="00CD1DBD" w:rsidRPr="002D61B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1DBD" w:rsidRPr="000C4E85" w14:paraId="67131500" w14:textId="77777777" w:rsidTr="00100A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F4C1" w14:textId="77777777" w:rsidR="00CD1DBD" w:rsidRPr="000C4E85" w:rsidRDefault="00CD1DBD" w:rsidP="0006620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Nieprawidłowe działania wyk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nawcy związane z: wdrożeniem systemu „ŚWITEŹ”, utrzymaniem odpowiedniego poziomu bezpi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czeństwa i zapewnieniem wyda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0C4E85">
              <w:rPr>
                <w:rFonts w:ascii="Arial" w:hAnsi="Arial" w:cs="Arial"/>
                <w:color w:val="000000"/>
                <w:sz w:val="20"/>
                <w:szCs w:val="20"/>
              </w:rPr>
              <w:t>ności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884C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B2F0" w14:textId="77777777" w:rsidR="00CD1DBD" w:rsidRPr="00F10351" w:rsidRDefault="00CD1DBD" w:rsidP="00447A7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672B" w14:textId="61611790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Wybór wykonawcy z o</w:t>
            </w:r>
            <w:r w:rsidRPr="00367909">
              <w:rPr>
                <w:rFonts w:ascii="Arial" w:hAnsi="Arial" w:cs="Arial"/>
                <w:sz w:val="20"/>
                <w:szCs w:val="20"/>
              </w:rPr>
              <w:t>d</w:t>
            </w:r>
            <w:r w:rsidRPr="00367909">
              <w:rPr>
                <w:rFonts w:ascii="Arial" w:hAnsi="Arial" w:cs="Arial"/>
                <w:sz w:val="20"/>
                <w:szCs w:val="20"/>
              </w:rPr>
              <w:t>powiednim przygotow</w:t>
            </w:r>
            <w:r w:rsidRPr="00367909">
              <w:rPr>
                <w:rFonts w:ascii="Arial" w:hAnsi="Arial" w:cs="Arial"/>
                <w:sz w:val="20"/>
                <w:szCs w:val="20"/>
              </w:rPr>
              <w:t>a</w:t>
            </w:r>
            <w:r w:rsidRPr="00367909">
              <w:rPr>
                <w:rFonts w:ascii="Arial" w:hAnsi="Arial" w:cs="Arial"/>
                <w:sz w:val="20"/>
                <w:szCs w:val="20"/>
              </w:rPr>
              <w:t>niem oraz zapleczem technicznym. Na wyk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nawcę nałożony zostanie również obowiązek pr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wadzenia projektu zgo</w:t>
            </w:r>
            <w:r w:rsidRPr="00367909">
              <w:rPr>
                <w:rFonts w:ascii="Arial" w:hAnsi="Arial" w:cs="Arial"/>
                <w:sz w:val="20"/>
                <w:szCs w:val="20"/>
              </w:rPr>
              <w:t>d</w:t>
            </w:r>
            <w:r w:rsidRPr="00367909">
              <w:rPr>
                <w:rFonts w:ascii="Arial" w:hAnsi="Arial" w:cs="Arial"/>
                <w:sz w:val="20"/>
                <w:szCs w:val="20"/>
              </w:rPr>
              <w:t>nie z uznaną metodyką. Organizowanie cyklic</w:t>
            </w:r>
            <w:r w:rsidRPr="00367909">
              <w:rPr>
                <w:rFonts w:ascii="Arial" w:hAnsi="Arial" w:cs="Arial"/>
                <w:sz w:val="20"/>
                <w:szCs w:val="20"/>
              </w:rPr>
              <w:t>z</w:t>
            </w:r>
            <w:r w:rsidR="001841E8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ych spotkań nadzoru w trakcie realizacji kontraktu z wykonawcą. Wybór zewnętrznego doradcy technicznego.</w:t>
            </w:r>
          </w:p>
          <w:p w14:paraId="0A82CF7D" w14:textId="77777777" w:rsidR="00CD1DBD" w:rsidRPr="00367909" w:rsidRDefault="00CD1DBD" w:rsidP="00F7700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Spodziewanymi efektami działań jest: zachowanie maksymalnej jakości pr</w:t>
            </w:r>
            <w:r w:rsidRPr="00367909">
              <w:rPr>
                <w:rFonts w:ascii="Arial" w:hAnsi="Arial" w:cs="Arial"/>
                <w:sz w:val="20"/>
                <w:szCs w:val="20"/>
              </w:rPr>
              <w:t>o</w:t>
            </w:r>
            <w:r w:rsidRPr="00367909">
              <w:rPr>
                <w:rFonts w:ascii="Arial" w:hAnsi="Arial" w:cs="Arial"/>
                <w:sz w:val="20"/>
                <w:szCs w:val="20"/>
              </w:rPr>
              <w:t>duktów w projekcie, w tym ich najwyższych standa</w:t>
            </w:r>
            <w:r w:rsidRPr="00367909">
              <w:rPr>
                <w:rFonts w:ascii="Arial" w:hAnsi="Arial" w:cs="Arial"/>
                <w:sz w:val="20"/>
                <w:szCs w:val="20"/>
              </w:rPr>
              <w:t>r</w:t>
            </w:r>
            <w:r w:rsidRPr="00367909">
              <w:rPr>
                <w:rFonts w:ascii="Arial" w:hAnsi="Arial" w:cs="Arial"/>
                <w:sz w:val="20"/>
                <w:szCs w:val="20"/>
              </w:rPr>
              <w:t>dów technicznych i w</w:t>
            </w:r>
            <w:r w:rsidRPr="00367909">
              <w:rPr>
                <w:rFonts w:ascii="Arial" w:hAnsi="Arial" w:cs="Arial"/>
                <w:sz w:val="20"/>
                <w:szCs w:val="20"/>
              </w:rPr>
              <w:t>y</w:t>
            </w:r>
            <w:r w:rsidRPr="00367909">
              <w:rPr>
                <w:rFonts w:ascii="Arial" w:hAnsi="Arial" w:cs="Arial"/>
                <w:sz w:val="20"/>
                <w:szCs w:val="20"/>
              </w:rPr>
              <w:t xml:space="preserve">magań określonych w dokumentacji projektowej oraz pełnej kontroli nad realizacją projektu. </w:t>
            </w:r>
          </w:p>
          <w:p w14:paraId="575EB358" w14:textId="77777777" w:rsidR="00CD1DBD" w:rsidRPr="00367909" w:rsidRDefault="00CD1DBD" w:rsidP="00314A3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7909">
              <w:rPr>
                <w:rFonts w:ascii="Arial" w:hAnsi="Arial" w:cs="Arial"/>
                <w:sz w:val="20"/>
                <w:szCs w:val="20"/>
              </w:rPr>
              <w:t>Poziom ryzyka w stosu</w:t>
            </w:r>
            <w:r w:rsidRPr="00367909">
              <w:rPr>
                <w:rFonts w:ascii="Arial" w:hAnsi="Arial" w:cs="Arial"/>
                <w:sz w:val="20"/>
                <w:szCs w:val="20"/>
              </w:rPr>
              <w:t>n</w:t>
            </w:r>
            <w:r w:rsidRPr="00367909">
              <w:rPr>
                <w:rFonts w:ascii="Arial" w:hAnsi="Arial" w:cs="Arial"/>
                <w:sz w:val="20"/>
                <w:szCs w:val="20"/>
              </w:rPr>
              <w:t>ku do poprzedniego okr</w:t>
            </w:r>
            <w:r w:rsidRPr="00367909">
              <w:rPr>
                <w:rFonts w:ascii="Arial" w:hAnsi="Arial" w:cs="Arial"/>
                <w:sz w:val="20"/>
                <w:szCs w:val="20"/>
              </w:rPr>
              <w:t>e</w:t>
            </w:r>
            <w:r w:rsidRPr="00367909">
              <w:rPr>
                <w:rFonts w:ascii="Arial" w:hAnsi="Arial" w:cs="Arial"/>
                <w:sz w:val="20"/>
                <w:szCs w:val="20"/>
              </w:rPr>
              <w:t>su sprawozdawczego pozostaje bez zmian.</w:t>
            </w:r>
          </w:p>
        </w:tc>
      </w:tr>
      <w:bookmarkEnd w:id="2"/>
    </w:tbl>
    <w:p w14:paraId="2C1CD6DF" w14:textId="77777777" w:rsidR="00B37E08" w:rsidRDefault="00B37E08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C0DBC48" w14:textId="3F9401FB" w:rsidR="00CD1DBD" w:rsidRPr="00023D0C" w:rsidRDefault="00CD1DBD" w:rsidP="00141A92">
      <w:pPr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023D0C">
        <w:rPr>
          <w:rFonts w:ascii="Arial" w:hAnsi="Arial" w:cs="Arial"/>
          <w:b/>
          <w:bCs/>
          <w:color w:val="000000"/>
          <w:sz w:val="20"/>
          <w:szCs w:val="20"/>
        </w:rPr>
        <w:t>Ryzyka wpływające na utrzymanie efektów projektu</w:t>
      </w:r>
    </w:p>
    <w:tbl>
      <w:tblPr>
        <w:tblW w:w="996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450"/>
        <w:gridCol w:w="2552"/>
      </w:tblGrid>
      <w:tr w:rsidR="00CD1DBD" w:rsidRPr="000C4E85" w14:paraId="2A9E4315" w14:textId="77777777" w:rsidTr="00B37E0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5FCD300" w14:textId="77777777" w:rsidR="00CD1DBD" w:rsidRPr="00023D0C" w:rsidRDefault="00CD1DBD" w:rsidP="00B658AF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</w:pPr>
            <w:r w:rsidRPr="00023D0C">
              <w:rPr>
                <w:rFonts w:ascii="Arial" w:eastAsia="MS MinNew Roman" w:hAnsi="Arial" w:cs="Arial"/>
                <w:b/>
                <w:bCs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376D5B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450" w:type="dxa"/>
            <w:shd w:val="clear" w:color="auto" w:fill="D9D9D9"/>
          </w:tcPr>
          <w:p w14:paraId="1C6B2B68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66CE51C" w14:textId="77777777" w:rsidR="00CD1DBD" w:rsidRPr="00023D0C" w:rsidRDefault="00CD1DBD" w:rsidP="00B658AF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023D0C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CD1DBD" w:rsidRPr="000C4E85" w14:paraId="6A34D26C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1480434A" w14:textId="77777777" w:rsidR="00CD1DBD" w:rsidRPr="000C4E85" w:rsidRDefault="00CD1DBD" w:rsidP="0006620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bookmarkStart w:id="3" w:name="_Hlk22931490"/>
            <w:r w:rsidRPr="000C4E8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Wystąpienie błędów działania systemu nie wykrytych na etapie wdrożenia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A22C60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438D251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18D4780A" w14:textId="77777777" w:rsidR="00CD1DBD" w:rsidRPr="004C1766" w:rsidRDefault="00CD1DBD" w:rsidP="004C1766">
            <w:pPr>
              <w:pStyle w:val="Legenda"/>
              <w:jc w:val="both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procedur dotyczących wszechstronnych testów akceptacyjnych oraz </w:t>
            </w:r>
            <w:r w:rsidRPr="004C1766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wymóg testowania zmian na środowisku testowym / wprowadzenie procedur odtworzenia systemu oraz systematycznego tworzenia kopii zapasowych / regularne kontrole jakości systemu / audyt. Uwzględnienie potrzeby przeprowadzenia testów oraz zapewnienie czasu w harmonogramie i odpowiednich zasobów do ich przeprowadzenia. Odpowiednia konstrukcja umowy z wykonawcą. Udział Audytora w czynnościach testowych.</w:t>
            </w:r>
          </w:p>
          <w:p w14:paraId="2A0DD035" w14:textId="33CD3AA4" w:rsidR="00CD1DBD" w:rsidRPr="004C1766" w:rsidRDefault="00CD1DBD" w:rsidP="004C1766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Spodziewanymi efektami działań jest zachowanie maksymalnej jakości pr</w:t>
            </w:r>
            <w:r w:rsidRPr="004C1766">
              <w:rPr>
                <w:rFonts w:ascii="Arial" w:hAnsi="Arial" w:cs="Arial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sz w:val="20"/>
                <w:szCs w:val="20"/>
              </w:rPr>
              <w:t>duktów w projekcie p</w:t>
            </w:r>
            <w:r w:rsidRPr="004C1766">
              <w:rPr>
                <w:rFonts w:ascii="Arial" w:hAnsi="Arial" w:cs="Arial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sz w:val="20"/>
                <w:szCs w:val="20"/>
              </w:rPr>
              <w:t>przez zapewnienie wsparcia technicznego podczas realizacji proje</w:t>
            </w:r>
            <w:r w:rsidRPr="004C1766">
              <w:rPr>
                <w:rFonts w:ascii="Arial" w:hAnsi="Arial" w:cs="Arial"/>
                <w:sz w:val="20"/>
                <w:szCs w:val="20"/>
              </w:rPr>
              <w:t>k</w:t>
            </w:r>
            <w:r w:rsidRPr="004C1766">
              <w:rPr>
                <w:rFonts w:ascii="Arial" w:hAnsi="Arial" w:cs="Arial"/>
                <w:sz w:val="20"/>
                <w:szCs w:val="20"/>
              </w:rPr>
              <w:t>tu oraz w pierwszym okresie jego działania po etapie wdrożenia.</w:t>
            </w:r>
          </w:p>
          <w:p w14:paraId="6EF93A0C" w14:textId="77777777" w:rsidR="00CD1DBD" w:rsidRPr="004C1766" w:rsidRDefault="00CD1DBD" w:rsidP="004C1766">
            <w:pPr>
              <w:spacing w:after="0"/>
              <w:jc w:val="both"/>
              <w:rPr>
                <w:lang w:eastAsia="pl-PL"/>
              </w:rPr>
            </w:pPr>
            <w:r w:rsidRPr="004C1766">
              <w:rPr>
                <w:rFonts w:ascii="Arial" w:hAnsi="Arial" w:cs="Arial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sz w:val="20"/>
                <w:szCs w:val="20"/>
              </w:rPr>
              <w:t>su sprawozdawczego pozostaje bez zmian.</w:t>
            </w:r>
          </w:p>
        </w:tc>
      </w:tr>
      <w:tr w:rsidR="00CD1DBD" w:rsidRPr="000C4E85" w14:paraId="341E31D5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7796104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lastRenderedPageBreak/>
              <w:t>Niechęć pracowników beneficje</w:t>
            </w:r>
            <w:r w:rsidRPr="000C4E85">
              <w:rPr>
                <w:rFonts w:ascii="Arial" w:hAnsi="Arial" w:cs="Arial"/>
                <w:sz w:val="20"/>
                <w:szCs w:val="20"/>
              </w:rPr>
              <w:t>n</w:t>
            </w:r>
            <w:r w:rsidRPr="000C4E85">
              <w:rPr>
                <w:rFonts w:ascii="Arial" w:hAnsi="Arial" w:cs="Arial"/>
                <w:sz w:val="20"/>
                <w:szCs w:val="20"/>
              </w:rPr>
              <w:t>ta i jednostek powiązanych w stosunku do korzystania z usług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68B798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3FC1BD75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068DF8B1" w14:textId="48741471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Szkolenia dla osób, które będą pracować na syst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mie, obejmujące zarówno kwestie techniczne, jak i merytoryczne.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 xml:space="preserve"> Beneficjent w ramach działań prom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cyjnych planuje także przeprowadzenie kamp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nii upowszechniającej wiedzę wśród użytkown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ków wewnętrznych o pr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474506">
              <w:rPr>
                <w:rFonts w:ascii="Arial" w:hAnsi="Arial" w:cs="Arial"/>
                <w:color w:val="auto"/>
                <w:sz w:val="20"/>
                <w:szCs w:val="20"/>
              </w:rPr>
              <w:t>jektowanym systemie i etapach jego wdrożenia.</w:t>
            </w:r>
          </w:p>
          <w:p w14:paraId="0F8A40D9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h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nienie wiedzy o celach projektu i zasadach jego funkcjonowania użytko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nikom wewnętrznym – poprzez wskazywanie jego funkcjonalności wpływających na jakość i efektywność pracy w sy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temie. </w:t>
            </w:r>
          </w:p>
          <w:p w14:paraId="45E66E31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su sprawozdawczego 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pozostaje bez zmian.</w:t>
            </w:r>
          </w:p>
        </w:tc>
      </w:tr>
      <w:tr w:rsidR="00CD1DBD" w:rsidRPr="000C4E85" w14:paraId="64FEA724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056A7EAA" w14:textId="77777777" w:rsidR="00CD1DBD" w:rsidRPr="000C4E85" w:rsidRDefault="00CD1DBD" w:rsidP="00066202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4E85">
              <w:rPr>
                <w:rFonts w:ascii="Arial" w:hAnsi="Arial" w:cs="Arial"/>
                <w:sz w:val="20"/>
                <w:szCs w:val="20"/>
              </w:rPr>
              <w:lastRenderedPageBreak/>
              <w:t>Niski poziomu korzystania z ur</w:t>
            </w:r>
            <w:r w:rsidRPr="000C4E85">
              <w:rPr>
                <w:rFonts w:ascii="Arial" w:hAnsi="Arial" w:cs="Arial"/>
                <w:sz w:val="20"/>
                <w:szCs w:val="20"/>
              </w:rPr>
              <w:t>u</w:t>
            </w:r>
            <w:r w:rsidRPr="000C4E85">
              <w:rPr>
                <w:rFonts w:ascii="Arial" w:hAnsi="Arial" w:cs="Arial"/>
                <w:sz w:val="20"/>
                <w:szCs w:val="20"/>
              </w:rPr>
              <w:t>chomionych usług elektronicznych przez grupy docelowe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8A01C5" w14:textId="429A46C5" w:rsidR="00CD1DBD" w:rsidRPr="00F10351" w:rsidRDefault="00B64FD6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0672BD62" w14:textId="77777777" w:rsidR="00CD1DBD" w:rsidRPr="00F10351" w:rsidRDefault="00CD1DBD" w:rsidP="00447A7C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7AD811C5" w14:textId="77777777" w:rsidR="00CD1DBD" w:rsidRPr="004C1766" w:rsidRDefault="00CD1DBD" w:rsidP="0006620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Działania informacyjno-promocyjne ukierunkow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ne na potencjalnych klie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tów e-usług.</w:t>
            </w:r>
          </w:p>
          <w:p w14:paraId="4E2EA31C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Spodziewanymi efektami działań jest upowszec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h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nienie wiedzy wśród uży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t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kowników zewnętrznych o zasadach funkcjonowania i korzyściach wynikaj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ą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cych z użytkowania pr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 xml:space="preserve">jektowanego systemu. </w:t>
            </w:r>
          </w:p>
          <w:p w14:paraId="6E343C6A" w14:textId="77777777" w:rsidR="00CD1DBD" w:rsidRPr="004C1766" w:rsidRDefault="00CD1DBD" w:rsidP="0055440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Poziom ryzyka w stosu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ku do poprzedniego okr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C1766">
              <w:rPr>
                <w:rFonts w:ascii="Arial" w:hAnsi="Arial" w:cs="Arial"/>
                <w:color w:val="auto"/>
                <w:sz w:val="20"/>
                <w:szCs w:val="20"/>
              </w:rPr>
              <w:t>su sprawozdawczego pozostaje bez zmian.</w:t>
            </w:r>
          </w:p>
        </w:tc>
      </w:tr>
      <w:tr w:rsidR="00474506" w:rsidRPr="000C4E85" w14:paraId="159CE5D1" w14:textId="77777777" w:rsidTr="00B37E08">
        <w:trPr>
          <w:trHeight w:val="724"/>
        </w:trPr>
        <w:tc>
          <w:tcPr>
            <w:tcW w:w="3261" w:type="dxa"/>
            <w:vAlign w:val="center"/>
          </w:tcPr>
          <w:p w14:paraId="44289A0D" w14:textId="6D0274E7" w:rsidR="00474506" w:rsidRPr="00422DBD" w:rsidRDefault="00474506" w:rsidP="0047450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Brak udostępnienia danych przez system ŚWITEŹ do integracji z systemem F-K lub udostępnienie danych w ograniczonym zakresie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AAB92A" w14:textId="124BA799" w:rsidR="00474506" w:rsidRPr="00F10351" w:rsidRDefault="00474506" w:rsidP="0047450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450" w:type="dxa"/>
            <w:shd w:val="clear" w:color="auto" w:fill="FFFFFF"/>
            <w:vAlign w:val="center"/>
          </w:tcPr>
          <w:p w14:paraId="048E754D" w14:textId="7B695EC9" w:rsidR="00474506" w:rsidRPr="00F10351" w:rsidRDefault="00474506" w:rsidP="0047450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10351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39CC051" w14:textId="4D9FD1BE" w:rsidR="00474506" w:rsidRPr="00422DBD" w:rsidRDefault="00474506" w:rsidP="0047450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Przeprowadzenie – przy wsparciu merytorycznym Inżyniera Kontraktu, an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lizy zaplanowanych do osiągniecia funkcjonaln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ści systemu w celu wyt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y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powania tych o niskim poziomie istotności dla użytkownika i dla funkcj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nowania systemu.</w:t>
            </w:r>
          </w:p>
          <w:p w14:paraId="1F8AC296" w14:textId="44726C06" w:rsidR="00474506" w:rsidRPr="00422DBD" w:rsidRDefault="00474506" w:rsidP="00474506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Wsparcie merytoryczne I</w:t>
            </w:r>
            <w:r w:rsidR="00422DBD"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nżynier 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K</w:t>
            </w:r>
            <w:r w:rsidR="00422DBD" w:rsidRPr="00422DBD">
              <w:rPr>
                <w:rFonts w:ascii="Arial" w:hAnsi="Arial" w:cs="Arial"/>
                <w:color w:val="auto"/>
                <w:sz w:val="20"/>
                <w:szCs w:val="20"/>
              </w:rPr>
              <w:t>ontraktu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 w n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gocjowaniu zmian umowy z głównym wykonawcą systemu.</w:t>
            </w:r>
          </w:p>
          <w:p w14:paraId="6836B3CE" w14:textId="346D2858" w:rsidR="00474506" w:rsidRPr="00422DBD" w:rsidRDefault="00474506" w:rsidP="00422DBD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Spodziewanym efektem działań jest zachowanie priorytetów i celów głó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nych projektu – m.in. z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projektowanie i wdrożenie rozwiązań w pełni i sk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u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tecznie integrujących </w:t>
            </w:r>
            <w:r w:rsidR="00422DBD" w:rsidRPr="00422DBD">
              <w:rPr>
                <w:rFonts w:ascii="Arial" w:hAnsi="Arial" w:cs="Arial"/>
                <w:color w:val="auto"/>
                <w:sz w:val="20"/>
                <w:szCs w:val="20"/>
              </w:rPr>
              <w:t xml:space="preserve">system 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ŚWITEŹ z syst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e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mami publicznymi przy jednoczesnym zachow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niu ram czasowych i f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i</w:t>
            </w:r>
            <w:r w:rsidRPr="00422DBD">
              <w:rPr>
                <w:rFonts w:ascii="Arial" w:hAnsi="Arial" w:cs="Arial"/>
                <w:color w:val="auto"/>
                <w:sz w:val="20"/>
                <w:szCs w:val="20"/>
              </w:rPr>
              <w:t>nansowych projektu.</w:t>
            </w:r>
          </w:p>
        </w:tc>
      </w:tr>
    </w:tbl>
    <w:bookmarkEnd w:id="3"/>
    <w:p w14:paraId="185EFB01" w14:textId="77777777" w:rsidR="00CD1DBD" w:rsidRPr="00C87C99" w:rsidRDefault="00CD1DBD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</w:pPr>
      <w:r w:rsidRPr="00C87C99">
        <w:rPr>
          <w:rStyle w:val="Nagwek2Znak"/>
          <w:rFonts w:ascii="Arial" w:hAnsi="Arial" w:cs="Arial"/>
          <w:b/>
          <w:bCs/>
          <w:color w:val="auto"/>
          <w:sz w:val="22"/>
          <w:szCs w:val="22"/>
        </w:rPr>
        <w:t>Wymiarowanie systemu informatycznego</w:t>
      </w:r>
    </w:p>
    <w:p w14:paraId="5F180475" w14:textId="77777777" w:rsidR="00CD1DBD" w:rsidRPr="00C87C99" w:rsidRDefault="00CD1DBD" w:rsidP="00C87C9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0"/>
          <w:szCs w:val="20"/>
        </w:rPr>
      </w:pPr>
      <w:r w:rsidRPr="00C87C99">
        <w:rPr>
          <w:rStyle w:val="Nagwek2Znak"/>
          <w:rFonts w:ascii="Arial" w:hAnsi="Arial" w:cs="Arial"/>
          <w:color w:val="auto"/>
          <w:sz w:val="20"/>
          <w:szCs w:val="20"/>
        </w:rPr>
        <w:t>Nie dotyczy</w:t>
      </w:r>
      <w:r>
        <w:rPr>
          <w:rStyle w:val="Nagwek2Znak"/>
          <w:rFonts w:ascii="Arial" w:hAnsi="Arial" w:cs="Arial"/>
          <w:color w:val="auto"/>
          <w:sz w:val="20"/>
          <w:szCs w:val="20"/>
        </w:rPr>
        <w:t>.</w:t>
      </w:r>
    </w:p>
    <w:p w14:paraId="14B8F36A" w14:textId="77777777" w:rsidR="00CD1DBD" w:rsidRPr="002B5F81" w:rsidRDefault="00CD1DBD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B5F81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</w:p>
    <w:p w14:paraId="5189D31F" w14:textId="2B236627" w:rsidR="00CD1DBD" w:rsidRPr="00DF2A75" w:rsidRDefault="00DF2A75" w:rsidP="002B5F81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DF2A75">
        <w:rPr>
          <w:rStyle w:val="Nagwek2Znak"/>
          <w:rFonts w:ascii="Arial" w:hAnsi="Arial" w:cs="Arial"/>
          <w:color w:val="auto"/>
          <w:sz w:val="20"/>
          <w:szCs w:val="20"/>
        </w:rPr>
        <w:t>Tomasz Pietrucha</w:t>
      </w:r>
      <w:r w:rsidR="00CD1DBD" w:rsidRPr="00DF2A75">
        <w:rPr>
          <w:rStyle w:val="Nagwek2Znak"/>
          <w:rFonts w:ascii="Arial" w:hAnsi="Arial" w:cs="Arial"/>
          <w:color w:val="auto"/>
          <w:sz w:val="20"/>
          <w:szCs w:val="20"/>
        </w:rPr>
        <w:t xml:space="preserve"> –</w:t>
      </w:r>
      <w:r w:rsidR="00CD1DBD" w:rsidRPr="00DF2A75">
        <w:rPr>
          <w:rFonts w:ascii="Arial" w:hAnsi="Arial" w:cs="Arial"/>
          <w:sz w:val="20"/>
          <w:szCs w:val="20"/>
        </w:rPr>
        <w:t xml:space="preserve"> Biuro Nadzoru i Kontroli GUM</w:t>
      </w:r>
    </w:p>
    <w:p w14:paraId="2F7530D1" w14:textId="6DE07682" w:rsidR="00CD1DBD" w:rsidRPr="00DF2A75" w:rsidRDefault="00CD1DBD" w:rsidP="002B5F81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val="en-US"/>
        </w:rPr>
      </w:pPr>
      <w:r w:rsidRPr="00DF2A75">
        <w:rPr>
          <w:rStyle w:val="Nagwek2Znak"/>
          <w:rFonts w:ascii="Arial" w:hAnsi="Arial" w:cs="Arial"/>
          <w:color w:val="auto"/>
          <w:sz w:val="20"/>
          <w:szCs w:val="20"/>
          <w:lang w:val="en-US"/>
        </w:rPr>
        <w:t>e-</w:t>
      </w:r>
      <w:r w:rsidRPr="00DF2A75">
        <w:rPr>
          <w:rFonts w:ascii="Arial" w:hAnsi="Arial" w:cs="Arial"/>
          <w:sz w:val="20"/>
          <w:szCs w:val="20"/>
          <w:lang w:val="en-US"/>
        </w:rPr>
        <w:t xml:space="preserve">mail: </w:t>
      </w:r>
      <w:hyperlink r:id="rId8" w:history="1">
        <w:r w:rsidR="00DF2A75" w:rsidRPr="00DF2A75">
          <w:rPr>
            <w:rStyle w:val="Hipercze"/>
            <w:rFonts w:ascii="Arial" w:hAnsi="Arial" w:cs="Arial"/>
            <w:sz w:val="20"/>
            <w:szCs w:val="20"/>
            <w:lang w:val="en-US"/>
          </w:rPr>
          <w:t>tomasz.pietrucha@gum.gov.pl</w:t>
        </w:r>
      </w:hyperlink>
    </w:p>
    <w:p w14:paraId="3DDE92A0" w14:textId="544EE641" w:rsidR="00CD1DBD" w:rsidRPr="00D920B0" w:rsidRDefault="00CD1DBD" w:rsidP="00D920B0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DF2A75">
        <w:rPr>
          <w:rFonts w:ascii="Arial" w:hAnsi="Arial" w:cs="Arial"/>
          <w:sz w:val="20"/>
          <w:szCs w:val="20"/>
        </w:rPr>
        <w:lastRenderedPageBreak/>
        <w:t>tel. 22 581 9</w:t>
      </w:r>
      <w:r w:rsidR="00DF2A75" w:rsidRPr="00DF2A75">
        <w:rPr>
          <w:rFonts w:ascii="Arial" w:hAnsi="Arial" w:cs="Arial"/>
          <w:sz w:val="20"/>
          <w:szCs w:val="20"/>
        </w:rPr>
        <w:t>0</w:t>
      </w:r>
      <w:r w:rsidRPr="00DF2A75">
        <w:rPr>
          <w:rFonts w:ascii="Arial" w:hAnsi="Arial" w:cs="Arial"/>
          <w:sz w:val="20"/>
          <w:szCs w:val="20"/>
        </w:rPr>
        <w:t xml:space="preserve"> </w:t>
      </w:r>
      <w:r w:rsidR="00DF2A75" w:rsidRPr="00DF2A75">
        <w:rPr>
          <w:rFonts w:ascii="Arial" w:hAnsi="Arial" w:cs="Arial"/>
          <w:sz w:val="20"/>
          <w:szCs w:val="20"/>
        </w:rPr>
        <w:t>59</w:t>
      </w:r>
    </w:p>
    <w:sectPr w:rsidR="00CD1DBD" w:rsidRPr="00D920B0" w:rsidSect="00DB7734">
      <w:footerReference w:type="default" r:id="rId9"/>
      <w:pgSz w:w="11906" w:h="16838"/>
      <w:pgMar w:top="1135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61738" w14:textId="77777777" w:rsidR="00E32243" w:rsidRDefault="00E32243" w:rsidP="00BB2420">
      <w:pPr>
        <w:spacing w:after="0" w:line="240" w:lineRule="auto"/>
      </w:pPr>
      <w:r>
        <w:separator/>
      </w:r>
    </w:p>
  </w:endnote>
  <w:endnote w:type="continuationSeparator" w:id="0">
    <w:p w14:paraId="06D0D741" w14:textId="77777777" w:rsidR="00E32243" w:rsidRDefault="00E3224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2EA70" w14:textId="77777777" w:rsidR="00CD1DBD" w:rsidRDefault="00CD1DB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F2C1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 w:rsidRPr="003552D0">
      <w:rPr>
        <w:b/>
        <w:bCs/>
      </w:rPr>
      <w:fldChar w:fldCharType="begin"/>
    </w:r>
    <w:r w:rsidRPr="003552D0">
      <w:rPr>
        <w:b/>
        <w:bCs/>
      </w:rPr>
      <w:instrText xml:space="preserve"> NUMPAGES  </w:instrText>
    </w:r>
    <w:r w:rsidRPr="003552D0">
      <w:rPr>
        <w:b/>
        <w:bCs/>
      </w:rPr>
      <w:fldChar w:fldCharType="separate"/>
    </w:r>
    <w:r w:rsidR="009F2C1B">
      <w:rPr>
        <w:b/>
        <w:bCs/>
        <w:noProof/>
      </w:rPr>
      <w:t>12</w:t>
    </w:r>
    <w:r w:rsidRPr="003552D0">
      <w:rPr>
        <w:b/>
        <w:bCs/>
      </w:rPr>
      <w:fldChar w:fldCharType="end"/>
    </w:r>
  </w:p>
  <w:p w14:paraId="3A88897A" w14:textId="77777777" w:rsidR="00CD1DBD" w:rsidRDefault="00CD1D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3484F" w14:textId="77777777" w:rsidR="00E32243" w:rsidRDefault="00E32243" w:rsidP="00BB2420">
      <w:pPr>
        <w:spacing w:after="0" w:line="240" w:lineRule="auto"/>
      </w:pPr>
      <w:r>
        <w:separator/>
      </w:r>
    </w:p>
  </w:footnote>
  <w:footnote w:type="continuationSeparator" w:id="0">
    <w:p w14:paraId="18B3EA3F" w14:textId="77777777" w:rsidR="00E32243" w:rsidRDefault="00E32243" w:rsidP="00BB2420">
      <w:pPr>
        <w:spacing w:after="0" w:line="240" w:lineRule="auto"/>
      </w:pPr>
      <w:r>
        <w:continuationSeparator/>
      </w:r>
    </w:p>
  </w:footnote>
  <w:footnote w:id="1">
    <w:p w14:paraId="0405AFFF" w14:textId="77777777" w:rsidR="00B37E08" w:rsidRDefault="00B37E08" w:rsidP="00B37E08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409D10B" w14:textId="77777777" w:rsidR="00CD1DBD" w:rsidRDefault="00CD1DB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8223F"/>
    <w:multiLevelType w:val="hybridMultilevel"/>
    <w:tmpl w:val="C49C45C2"/>
    <w:lvl w:ilvl="0" w:tplc="76E46D6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0A12B7C"/>
    <w:multiLevelType w:val="hybridMultilevel"/>
    <w:tmpl w:val="422AD6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A4C4E"/>
    <w:multiLevelType w:val="hybridMultilevel"/>
    <w:tmpl w:val="0A8E6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E31932"/>
    <w:multiLevelType w:val="hybridMultilevel"/>
    <w:tmpl w:val="D7C652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89E7D3A"/>
    <w:multiLevelType w:val="hybridMultilevel"/>
    <w:tmpl w:val="CC2E7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D35F8"/>
    <w:multiLevelType w:val="hybridMultilevel"/>
    <w:tmpl w:val="43A227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A5B3505"/>
    <w:multiLevelType w:val="hybridMultilevel"/>
    <w:tmpl w:val="50A65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5"/>
  </w:num>
  <w:num w:numId="4">
    <w:abstractNumId w:val="12"/>
  </w:num>
  <w:num w:numId="5">
    <w:abstractNumId w:val="22"/>
  </w:num>
  <w:num w:numId="6">
    <w:abstractNumId w:val="4"/>
  </w:num>
  <w:num w:numId="7">
    <w:abstractNumId w:val="19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1"/>
  </w:num>
  <w:num w:numId="13">
    <w:abstractNumId w:val="17"/>
  </w:num>
  <w:num w:numId="14">
    <w:abstractNumId w:val="2"/>
  </w:num>
  <w:num w:numId="15">
    <w:abstractNumId w:val="23"/>
  </w:num>
  <w:num w:numId="16">
    <w:abstractNumId w:val="8"/>
  </w:num>
  <w:num w:numId="17">
    <w:abstractNumId w:val="15"/>
  </w:num>
  <w:num w:numId="18">
    <w:abstractNumId w:val="14"/>
  </w:num>
  <w:num w:numId="19">
    <w:abstractNumId w:val="10"/>
  </w:num>
  <w:num w:numId="20">
    <w:abstractNumId w:val="24"/>
  </w:num>
  <w:num w:numId="21">
    <w:abstractNumId w:val="20"/>
  </w:num>
  <w:num w:numId="22">
    <w:abstractNumId w:val="11"/>
  </w:num>
  <w:num w:numId="23">
    <w:abstractNumId w:val="13"/>
  </w:num>
  <w:num w:numId="24">
    <w:abstractNumId w:val="0"/>
  </w:num>
  <w:num w:numId="25">
    <w:abstractNumId w:val="9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075F7"/>
    <w:rsid w:val="00016BDC"/>
    <w:rsid w:val="000221B9"/>
    <w:rsid w:val="00023D0C"/>
    <w:rsid w:val="00030613"/>
    <w:rsid w:val="000352A0"/>
    <w:rsid w:val="00041972"/>
    <w:rsid w:val="00043DD9"/>
    <w:rsid w:val="00043FE4"/>
    <w:rsid w:val="00044D68"/>
    <w:rsid w:val="00047D9D"/>
    <w:rsid w:val="00065758"/>
    <w:rsid w:val="00066202"/>
    <w:rsid w:val="00070663"/>
    <w:rsid w:val="00071B2F"/>
    <w:rsid w:val="00084E5B"/>
    <w:rsid w:val="00087231"/>
    <w:rsid w:val="00095944"/>
    <w:rsid w:val="000A1DFB"/>
    <w:rsid w:val="000A2F32"/>
    <w:rsid w:val="000A3938"/>
    <w:rsid w:val="000B04C7"/>
    <w:rsid w:val="000B3E49"/>
    <w:rsid w:val="000B3E66"/>
    <w:rsid w:val="000B4DB6"/>
    <w:rsid w:val="000B6E1A"/>
    <w:rsid w:val="000C4E85"/>
    <w:rsid w:val="000C51A5"/>
    <w:rsid w:val="000D5131"/>
    <w:rsid w:val="000D6474"/>
    <w:rsid w:val="000E0060"/>
    <w:rsid w:val="000E1828"/>
    <w:rsid w:val="000E3FCD"/>
    <w:rsid w:val="000E4BF8"/>
    <w:rsid w:val="000E7802"/>
    <w:rsid w:val="000E79B2"/>
    <w:rsid w:val="000F20A9"/>
    <w:rsid w:val="000F307B"/>
    <w:rsid w:val="000F30B9"/>
    <w:rsid w:val="000F6268"/>
    <w:rsid w:val="00100AD1"/>
    <w:rsid w:val="001041A3"/>
    <w:rsid w:val="001122CA"/>
    <w:rsid w:val="0011693F"/>
    <w:rsid w:val="00122388"/>
    <w:rsid w:val="00124C3D"/>
    <w:rsid w:val="00125882"/>
    <w:rsid w:val="00141A92"/>
    <w:rsid w:val="00145E84"/>
    <w:rsid w:val="00147EAF"/>
    <w:rsid w:val="0015102C"/>
    <w:rsid w:val="00174BD3"/>
    <w:rsid w:val="00176FBB"/>
    <w:rsid w:val="00181E97"/>
    <w:rsid w:val="00182A08"/>
    <w:rsid w:val="001841E8"/>
    <w:rsid w:val="001935D4"/>
    <w:rsid w:val="001968BD"/>
    <w:rsid w:val="001A2EF2"/>
    <w:rsid w:val="001B2826"/>
    <w:rsid w:val="001B7579"/>
    <w:rsid w:val="001C2D74"/>
    <w:rsid w:val="001C7CC3"/>
    <w:rsid w:val="001C7FAC"/>
    <w:rsid w:val="001D070D"/>
    <w:rsid w:val="001E0CAC"/>
    <w:rsid w:val="001E1452"/>
    <w:rsid w:val="001E16A3"/>
    <w:rsid w:val="001E1DEA"/>
    <w:rsid w:val="001E7199"/>
    <w:rsid w:val="001E7597"/>
    <w:rsid w:val="001F19B6"/>
    <w:rsid w:val="001F231B"/>
    <w:rsid w:val="001F24A0"/>
    <w:rsid w:val="001F67EC"/>
    <w:rsid w:val="0020330A"/>
    <w:rsid w:val="00204C5B"/>
    <w:rsid w:val="002246FF"/>
    <w:rsid w:val="00237279"/>
    <w:rsid w:val="0023798A"/>
    <w:rsid w:val="00240D69"/>
    <w:rsid w:val="00241B5E"/>
    <w:rsid w:val="00252087"/>
    <w:rsid w:val="002532E0"/>
    <w:rsid w:val="00253546"/>
    <w:rsid w:val="002556F6"/>
    <w:rsid w:val="002740E1"/>
    <w:rsid w:val="00275421"/>
    <w:rsid w:val="00276C00"/>
    <w:rsid w:val="002A0BDD"/>
    <w:rsid w:val="002A3C02"/>
    <w:rsid w:val="002A5452"/>
    <w:rsid w:val="002B3C20"/>
    <w:rsid w:val="002B4889"/>
    <w:rsid w:val="002B50C0"/>
    <w:rsid w:val="002B5F81"/>
    <w:rsid w:val="002B6F21"/>
    <w:rsid w:val="002C7051"/>
    <w:rsid w:val="002D23DA"/>
    <w:rsid w:val="002D3D4A"/>
    <w:rsid w:val="002D61BA"/>
    <w:rsid w:val="002D7ADA"/>
    <w:rsid w:val="002E0181"/>
    <w:rsid w:val="002E50BB"/>
    <w:rsid w:val="002F0A74"/>
    <w:rsid w:val="002F33D8"/>
    <w:rsid w:val="0030196F"/>
    <w:rsid w:val="00302775"/>
    <w:rsid w:val="00304D04"/>
    <w:rsid w:val="00310D8E"/>
    <w:rsid w:val="00313599"/>
    <w:rsid w:val="00314A3E"/>
    <w:rsid w:val="00315BC8"/>
    <w:rsid w:val="003221F2"/>
    <w:rsid w:val="00322614"/>
    <w:rsid w:val="00334A24"/>
    <w:rsid w:val="003410FE"/>
    <w:rsid w:val="0034727B"/>
    <w:rsid w:val="003508E7"/>
    <w:rsid w:val="003542F1"/>
    <w:rsid w:val="003552D0"/>
    <w:rsid w:val="00356A3E"/>
    <w:rsid w:val="003635D1"/>
    <w:rsid w:val="003642B8"/>
    <w:rsid w:val="00367909"/>
    <w:rsid w:val="00373AFD"/>
    <w:rsid w:val="003825DF"/>
    <w:rsid w:val="003A2277"/>
    <w:rsid w:val="003A2CFE"/>
    <w:rsid w:val="003A4115"/>
    <w:rsid w:val="003B5B7A"/>
    <w:rsid w:val="003C7325"/>
    <w:rsid w:val="003D6C3B"/>
    <w:rsid w:val="003D7DD0"/>
    <w:rsid w:val="003E3144"/>
    <w:rsid w:val="003E78E5"/>
    <w:rsid w:val="00400C12"/>
    <w:rsid w:val="00400F39"/>
    <w:rsid w:val="00405EA4"/>
    <w:rsid w:val="0041034F"/>
    <w:rsid w:val="00410BD4"/>
    <w:rsid w:val="004118A3"/>
    <w:rsid w:val="00422DBD"/>
    <w:rsid w:val="00423A26"/>
    <w:rsid w:val="00425046"/>
    <w:rsid w:val="004350B8"/>
    <w:rsid w:val="00444AAB"/>
    <w:rsid w:val="00445572"/>
    <w:rsid w:val="00447A7C"/>
    <w:rsid w:val="00450089"/>
    <w:rsid w:val="00461110"/>
    <w:rsid w:val="004662EA"/>
    <w:rsid w:val="00472CD9"/>
    <w:rsid w:val="00474506"/>
    <w:rsid w:val="00481768"/>
    <w:rsid w:val="00496A46"/>
    <w:rsid w:val="004B2AC6"/>
    <w:rsid w:val="004B6823"/>
    <w:rsid w:val="004C1766"/>
    <w:rsid w:val="004C1C64"/>
    <w:rsid w:val="004C1D48"/>
    <w:rsid w:val="004C41E6"/>
    <w:rsid w:val="004D65CA"/>
    <w:rsid w:val="004F6E89"/>
    <w:rsid w:val="00517F12"/>
    <w:rsid w:val="0052102C"/>
    <w:rsid w:val="00524E6C"/>
    <w:rsid w:val="00527F19"/>
    <w:rsid w:val="00530B36"/>
    <w:rsid w:val="005332D6"/>
    <w:rsid w:val="00544DFE"/>
    <w:rsid w:val="00554403"/>
    <w:rsid w:val="005734CE"/>
    <w:rsid w:val="00577B01"/>
    <w:rsid w:val="00586664"/>
    <w:rsid w:val="00593290"/>
    <w:rsid w:val="005A12F7"/>
    <w:rsid w:val="005A1B30"/>
    <w:rsid w:val="005B0D04"/>
    <w:rsid w:val="005B1A32"/>
    <w:rsid w:val="005C0469"/>
    <w:rsid w:val="005C0F05"/>
    <w:rsid w:val="005C1053"/>
    <w:rsid w:val="005C6116"/>
    <w:rsid w:val="005C77BB"/>
    <w:rsid w:val="005D0D3F"/>
    <w:rsid w:val="005D17CF"/>
    <w:rsid w:val="005D339B"/>
    <w:rsid w:val="005D38D0"/>
    <w:rsid w:val="005D5AAB"/>
    <w:rsid w:val="005D6E12"/>
    <w:rsid w:val="005E050D"/>
    <w:rsid w:val="005E0ED8"/>
    <w:rsid w:val="005E320D"/>
    <w:rsid w:val="005E6ABD"/>
    <w:rsid w:val="005E72D2"/>
    <w:rsid w:val="005F1797"/>
    <w:rsid w:val="005F3FA1"/>
    <w:rsid w:val="005F41FA"/>
    <w:rsid w:val="00600AE4"/>
    <w:rsid w:val="006052D5"/>
    <w:rsid w:val="006054AA"/>
    <w:rsid w:val="00616AA2"/>
    <w:rsid w:val="0061724A"/>
    <w:rsid w:val="0062054D"/>
    <w:rsid w:val="00632F84"/>
    <w:rsid w:val="006334BF"/>
    <w:rsid w:val="00635A54"/>
    <w:rsid w:val="00636414"/>
    <w:rsid w:val="006445C9"/>
    <w:rsid w:val="00646343"/>
    <w:rsid w:val="00660E92"/>
    <w:rsid w:val="00661A62"/>
    <w:rsid w:val="006626F8"/>
    <w:rsid w:val="00664D49"/>
    <w:rsid w:val="006659C4"/>
    <w:rsid w:val="00667C66"/>
    <w:rsid w:val="006708E6"/>
    <w:rsid w:val="0067147C"/>
    <w:rsid w:val="006731D9"/>
    <w:rsid w:val="006748B7"/>
    <w:rsid w:val="006764AB"/>
    <w:rsid w:val="0068074F"/>
    <w:rsid w:val="006822BC"/>
    <w:rsid w:val="006906A9"/>
    <w:rsid w:val="006A60AA"/>
    <w:rsid w:val="006B034F"/>
    <w:rsid w:val="006B5117"/>
    <w:rsid w:val="006C2BD9"/>
    <w:rsid w:val="006E0CFA"/>
    <w:rsid w:val="006E1E16"/>
    <w:rsid w:val="006E6205"/>
    <w:rsid w:val="006F0066"/>
    <w:rsid w:val="00701800"/>
    <w:rsid w:val="0070257A"/>
    <w:rsid w:val="007051C4"/>
    <w:rsid w:val="00707C67"/>
    <w:rsid w:val="00712549"/>
    <w:rsid w:val="007140D8"/>
    <w:rsid w:val="00717879"/>
    <w:rsid w:val="00721977"/>
    <w:rsid w:val="00725708"/>
    <w:rsid w:val="00731A3D"/>
    <w:rsid w:val="007330EC"/>
    <w:rsid w:val="00740A47"/>
    <w:rsid w:val="00746ABD"/>
    <w:rsid w:val="00756B9E"/>
    <w:rsid w:val="00761DF5"/>
    <w:rsid w:val="00772DF2"/>
    <w:rsid w:val="0077418F"/>
    <w:rsid w:val="00775514"/>
    <w:rsid w:val="00775C44"/>
    <w:rsid w:val="007924CE"/>
    <w:rsid w:val="00792895"/>
    <w:rsid w:val="00795AFA"/>
    <w:rsid w:val="007A4742"/>
    <w:rsid w:val="007A5CE8"/>
    <w:rsid w:val="007A735B"/>
    <w:rsid w:val="007B0251"/>
    <w:rsid w:val="007C2F7E"/>
    <w:rsid w:val="007C6235"/>
    <w:rsid w:val="007C6A29"/>
    <w:rsid w:val="007C77DB"/>
    <w:rsid w:val="007D1640"/>
    <w:rsid w:val="007D1990"/>
    <w:rsid w:val="007D2C34"/>
    <w:rsid w:val="007D38BD"/>
    <w:rsid w:val="007D3F21"/>
    <w:rsid w:val="007E341A"/>
    <w:rsid w:val="007E45EE"/>
    <w:rsid w:val="007F126F"/>
    <w:rsid w:val="00806134"/>
    <w:rsid w:val="0081036C"/>
    <w:rsid w:val="008117ED"/>
    <w:rsid w:val="008207BC"/>
    <w:rsid w:val="00823C7E"/>
    <w:rsid w:val="00827F5A"/>
    <w:rsid w:val="00830B70"/>
    <w:rsid w:val="0083248F"/>
    <w:rsid w:val="00837277"/>
    <w:rsid w:val="00840749"/>
    <w:rsid w:val="00856793"/>
    <w:rsid w:val="00857837"/>
    <w:rsid w:val="008648FB"/>
    <w:rsid w:val="00866490"/>
    <w:rsid w:val="0087452F"/>
    <w:rsid w:val="00875528"/>
    <w:rsid w:val="008812C3"/>
    <w:rsid w:val="00883C16"/>
    <w:rsid w:val="00884686"/>
    <w:rsid w:val="008858CF"/>
    <w:rsid w:val="00892372"/>
    <w:rsid w:val="008A1409"/>
    <w:rsid w:val="008A332F"/>
    <w:rsid w:val="008A52F6"/>
    <w:rsid w:val="008C4BCD"/>
    <w:rsid w:val="008C6721"/>
    <w:rsid w:val="008D3826"/>
    <w:rsid w:val="008D7031"/>
    <w:rsid w:val="008E3D38"/>
    <w:rsid w:val="008E55D9"/>
    <w:rsid w:val="008E7161"/>
    <w:rsid w:val="008F2D9B"/>
    <w:rsid w:val="0090597A"/>
    <w:rsid w:val="00907F6D"/>
    <w:rsid w:val="00911190"/>
    <w:rsid w:val="0091127A"/>
    <w:rsid w:val="0091255D"/>
    <w:rsid w:val="0091332C"/>
    <w:rsid w:val="009256F2"/>
    <w:rsid w:val="00933BEC"/>
    <w:rsid w:val="00936729"/>
    <w:rsid w:val="00946076"/>
    <w:rsid w:val="00946BD5"/>
    <w:rsid w:val="0095183B"/>
    <w:rsid w:val="00952126"/>
    <w:rsid w:val="00952617"/>
    <w:rsid w:val="00953A4B"/>
    <w:rsid w:val="009663A6"/>
    <w:rsid w:val="00971A40"/>
    <w:rsid w:val="0097451A"/>
    <w:rsid w:val="009751C2"/>
    <w:rsid w:val="00976434"/>
    <w:rsid w:val="00992EA3"/>
    <w:rsid w:val="009967CA"/>
    <w:rsid w:val="009A17FF"/>
    <w:rsid w:val="009B4423"/>
    <w:rsid w:val="009B4E85"/>
    <w:rsid w:val="009C4BDC"/>
    <w:rsid w:val="009C6140"/>
    <w:rsid w:val="009C6C88"/>
    <w:rsid w:val="009D2FA4"/>
    <w:rsid w:val="009D7D8A"/>
    <w:rsid w:val="009E4C67"/>
    <w:rsid w:val="009E7907"/>
    <w:rsid w:val="009E7BF1"/>
    <w:rsid w:val="009F09BF"/>
    <w:rsid w:val="009F0D77"/>
    <w:rsid w:val="009F1B40"/>
    <w:rsid w:val="009F1DC8"/>
    <w:rsid w:val="009F26D7"/>
    <w:rsid w:val="009F2C1B"/>
    <w:rsid w:val="009F437E"/>
    <w:rsid w:val="009F66A8"/>
    <w:rsid w:val="00A07ECF"/>
    <w:rsid w:val="00A11788"/>
    <w:rsid w:val="00A15E7C"/>
    <w:rsid w:val="00A160AA"/>
    <w:rsid w:val="00A17CFE"/>
    <w:rsid w:val="00A30847"/>
    <w:rsid w:val="00A36AE2"/>
    <w:rsid w:val="00A37F46"/>
    <w:rsid w:val="00A426EE"/>
    <w:rsid w:val="00A43B4F"/>
    <w:rsid w:val="00A43E49"/>
    <w:rsid w:val="00A44EA2"/>
    <w:rsid w:val="00A52015"/>
    <w:rsid w:val="00A56A12"/>
    <w:rsid w:val="00A56D63"/>
    <w:rsid w:val="00A627F2"/>
    <w:rsid w:val="00A67685"/>
    <w:rsid w:val="00A70643"/>
    <w:rsid w:val="00A728AE"/>
    <w:rsid w:val="00A804AE"/>
    <w:rsid w:val="00A86449"/>
    <w:rsid w:val="00A87C1C"/>
    <w:rsid w:val="00A90694"/>
    <w:rsid w:val="00A93B33"/>
    <w:rsid w:val="00A9422C"/>
    <w:rsid w:val="00AA46ED"/>
    <w:rsid w:val="00AA4CAB"/>
    <w:rsid w:val="00AA51AD"/>
    <w:rsid w:val="00AA6F89"/>
    <w:rsid w:val="00AB1281"/>
    <w:rsid w:val="00AB2A7E"/>
    <w:rsid w:val="00AB2E01"/>
    <w:rsid w:val="00AB5FE5"/>
    <w:rsid w:val="00AC6AD3"/>
    <w:rsid w:val="00AC7E26"/>
    <w:rsid w:val="00AD0254"/>
    <w:rsid w:val="00AD45BB"/>
    <w:rsid w:val="00AE1643"/>
    <w:rsid w:val="00AE3A6C"/>
    <w:rsid w:val="00AF0969"/>
    <w:rsid w:val="00AF09B8"/>
    <w:rsid w:val="00AF567D"/>
    <w:rsid w:val="00B01C16"/>
    <w:rsid w:val="00B033F7"/>
    <w:rsid w:val="00B11EDD"/>
    <w:rsid w:val="00B17709"/>
    <w:rsid w:val="00B25211"/>
    <w:rsid w:val="00B3277E"/>
    <w:rsid w:val="00B33234"/>
    <w:rsid w:val="00B37475"/>
    <w:rsid w:val="00B37E08"/>
    <w:rsid w:val="00B41415"/>
    <w:rsid w:val="00B440C3"/>
    <w:rsid w:val="00B46293"/>
    <w:rsid w:val="00B50560"/>
    <w:rsid w:val="00B50737"/>
    <w:rsid w:val="00B634D8"/>
    <w:rsid w:val="00B63E7F"/>
    <w:rsid w:val="00B64B3C"/>
    <w:rsid w:val="00B64FD6"/>
    <w:rsid w:val="00B658AF"/>
    <w:rsid w:val="00B673C6"/>
    <w:rsid w:val="00B74859"/>
    <w:rsid w:val="00B820D5"/>
    <w:rsid w:val="00B847C1"/>
    <w:rsid w:val="00B87D3D"/>
    <w:rsid w:val="00B971AB"/>
    <w:rsid w:val="00BA1A5C"/>
    <w:rsid w:val="00BA315A"/>
    <w:rsid w:val="00BA481C"/>
    <w:rsid w:val="00BA568E"/>
    <w:rsid w:val="00BA6DDF"/>
    <w:rsid w:val="00BB059E"/>
    <w:rsid w:val="00BB2420"/>
    <w:rsid w:val="00BB2A51"/>
    <w:rsid w:val="00BB3286"/>
    <w:rsid w:val="00BB5ACE"/>
    <w:rsid w:val="00BC1BD2"/>
    <w:rsid w:val="00BC36E7"/>
    <w:rsid w:val="00BC6BE4"/>
    <w:rsid w:val="00BD5A80"/>
    <w:rsid w:val="00BD649F"/>
    <w:rsid w:val="00BD7FAA"/>
    <w:rsid w:val="00BE47CD"/>
    <w:rsid w:val="00BE566B"/>
    <w:rsid w:val="00BE5BF9"/>
    <w:rsid w:val="00C0422D"/>
    <w:rsid w:val="00C0758B"/>
    <w:rsid w:val="00C1079D"/>
    <w:rsid w:val="00C1106C"/>
    <w:rsid w:val="00C26361"/>
    <w:rsid w:val="00C302F1"/>
    <w:rsid w:val="00C36D4A"/>
    <w:rsid w:val="00C40A91"/>
    <w:rsid w:val="00C42AEA"/>
    <w:rsid w:val="00C50883"/>
    <w:rsid w:val="00C57985"/>
    <w:rsid w:val="00C65421"/>
    <w:rsid w:val="00C6751B"/>
    <w:rsid w:val="00C734EA"/>
    <w:rsid w:val="00C735A7"/>
    <w:rsid w:val="00C76A02"/>
    <w:rsid w:val="00C81012"/>
    <w:rsid w:val="00C87C99"/>
    <w:rsid w:val="00C9086B"/>
    <w:rsid w:val="00CA12C6"/>
    <w:rsid w:val="00CA516B"/>
    <w:rsid w:val="00CA7A62"/>
    <w:rsid w:val="00CB3700"/>
    <w:rsid w:val="00CB5849"/>
    <w:rsid w:val="00CC0337"/>
    <w:rsid w:val="00CC384F"/>
    <w:rsid w:val="00CC577D"/>
    <w:rsid w:val="00CC7E21"/>
    <w:rsid w:val="00CD1DBD"/>
    <w:rsid w:val="00CE3E6B"/>
    <w:rsid w:val="00CE74F9"/>
    <w:rsid w:val="00CE7777"/>
    <w:rsid w:val="00CF2E64"/>
    <w:rsid w:val="00CF45B0"/>
    <w:rsid w:val="00CF48A6"/>
    <w:rsid w:val="00CF6256"/>
    <w:rsid w:val="00D02F54"/>
    <w:rsid w:val="00D21595"/>
    <w:rsid w:val="00D25CFE"/>
    <w:rsid w:val="00D4607F"/>
    <w:rsid w:val="00D51F43"/>
    <w:rsid w:val="00D52D9C"/>
    <w:rsid w:val="00D540BE"/>
    <w:rsid w:val="00D57025"/>
    <w:rsid w:val="00D57765"/>
    <w:rsid w:val="00D61D9C"/>
    <w:rsid w:val="00D77B49"/>
    <w:rsid w:val="00D77F50"/>
    <w:rsid w:val="00D859F4"/>
    <w:rsid w:val="00D85A52"/>
    <w:rsid w:val="00D86FEC"/>
    <w:rsid w:val="00D920B0"/>
    <w:rsid w:val="00DA34DF"/>
    <w:rsid w:val="00DA45AA"/>
    <w:rsid w:val="00DA4EA6"/>
    <w:rsid w:val="00DA59C5"/>
    <w:rsid w:val="00DA6A6E"/>
    <w:rsid w:val="00DA75CA"/>
    <w:rsid w:val="00DB69FD"/>
    <w:rsid w:val="00DB7734"/>
    <w:rsid w:val="00DC0A8A"/>
    <w:rsid w:val="00DC1705"/>
    <w:rsid w:val="00DC379A"/>
    <w:rsid w:val="00DC39A9"/>
    <w:rsid w:val="00DC4C79"/>
    <w:rsid w:val="00DE6249"/>
    <w:rsid w:val="00DE731D"/>
    <w:rsid w:val="00DF2A75"/>
    <w:rsid w:val="00DF5C7F"/>
    <w:rsid w:val="00DF62A5"/>
    <w:rsid w:val="00E0076D"/>
    <w:rsid w:val="00E11B44"/>
    <w:rsid w:val="00E12E2A"/>
    <w:rsid w:val="00E15DEB"/>
    <w:rsid w:val="00E1688D"/>
    <w:rsid w:val="00E203EB"/>
    <w:rsid w:val="00E32243"/>
    <w:rsid w:val="00E35401"/>
    <w:rsid w:val="00E375DB"/>
    <w:rsid w:val="00E4111A"/>
    <w:rsid w:val="00E42938"/>
    <w:rsid w:val="00E46005"/>
    <w:rsid w:val="00E470ED"/>
    <w:rsid w:val="00E47508"/>
    <w:rsid w:val="00E55EB0"/>
    <w:rsid w:val="00E577E3"/>
    <w:rsid w:val="00E57BB7"/>
    <w:rsid w:val="00E61CB0"/>
    <w:rsid w:val="00E71256"/>
    <w:rsid w:val="00E719DC"/>
    <w:rsid w:val="00E71BCF"/>
    <w:rsid w:val="00E7545A"/>
    <w:rsid w:val="00E81D7C"/>
    <w:rsid w:val="00E83FA4"/>
    <w:rsid w:val="00E86020"/>
    <w:rsid w:val="00E95012"/>
    <w:rsid w:val="00EA0B4F"/>
    <w:rsid w:val="00EA2ECE"/>
    <w:rsid w:val="00EC2AFC"/>
    <w:rsid w:val="00EC2CF3"/>
    <w:rsid w:val="00EC793B"/>
    <w:rsid w:val="00ED7995"/>
    <w:rsid w:val="00EE1571"/>
    <w:rsid w:val="00EE6508"/>
    <w:rsid w:val="00EF0092"/>
    <w:rsid w:val="00EF5BD4"/>
    <w:rsid w:val="00EF62D9"/>
    <w:rsid w:val="00F00E4A"/>
    <w:rsid w:val="00F10351"/>
    <w:rsid w:val="00F138F7"/>
    <w:rsid w:val="00F140EB"/>
    <w:rsid w:val="00F14355"/>
    <w:rsid w:val="00F15716"/>
    <w:rsid w:val="00F16257"/>
    <w:rsid w:val="00F2003F"/>
    <w:rsid w:val="00F2008A"/>
    <w:rsid w:val="00F21D9E"/>
    <w:rsid w:val="00F25348"/>
    <w:rsid w:val="00F4028D"/>
    <w:rsid w:val="00F4082C"/>
    <w:rsid w:val="00F45506"/>
    <w:rsid w:val="00F46F7D"/>
    <w:rsid w:val="00F47485"/>
    <w:rsid w:val="00F60062"/>
    <w:rsid w:val="00F613CC"/>
    <w:rsid w:val="00F76777"/>
    <w:rsid w:val="00F77004"/>
    <w:rsid w:val="00F83F2F"/>
    <w:rsid w:val="00F86555"/>
    <w:rsid w:val="00F947C9"/>
    <w:rsid w:val="00FA4627"/>
    <w:rsid w:val="00FA4D97"/>
    <w:rsid w:val="00FA698A"/>
    <w:rsid w:val="00FB2EF4"/>
    <w:rsid w:val="00FB3ED3"/>
    <w:rsid w:val="00FC3B03"/>
    <w:rsid w:val="00FD4466"/>
    <w:rsid w:val="00FE2BB3"/>
    <w:rsid w:val="00FF03A2"/>
    <w:rsid w:val="00FF22C4"/>
    <w:rsid w:val="00FF413D"/>
    <w:rsid w:val="00FF47CC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8D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Hipercze">
    <w:name w:val="Hyperlink"/>
    <w:uiPriority w:val="99"/>
    <w:rsid w:val="002B5F81"/>
    <w:rPr>
      <w:color w:val="0563C1"/>
      <w:u w:val="single"/>
    </w:rPr>
  </w:style>
  <w:style w:type="paragraph" w:customStyle="1" w:styleId="Default">
    <w:name w:val="Default"/>
    <w:uiPriority w:val="99"/>
    <w:rsid w:val="000B04C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DA6A6E"/>
    <w:rPr>
      <w:color w:val="auto"/>
      <w:shd w:val="clear" w:color="auto" w:fill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2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4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pietrucha@gum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2042</Words>
  <Characters>14725</Characters>
  <Application>Microsoft Office Word</Application>
  <DocSecurity>4</DocSecurity>
  <Lines>122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LinksUpToDate>false</LinksUpToDate>
  <CharactersWithSpaces>16734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creator/>
  <cp:lastModifiedBy/>
  <cp:revision>1</cp:revision>
  <dcterms:created xsi:type="dcterms:W3CDTF">2021-02-11T09:17:00Z</dcterms:created>
  <dcterms:modified xsi:type="dcterms:W3CDTF">2021-02-11T09:17:00Z</dcterms:modified>
</cp:coreProperties>
</file>